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88" w:rsidRDefault="00643A88" w:rsidP="005E7B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3A88">
        <w:rPr>
          <w:rFonts w:ascii="Arial" w:hAnsi="Arial" w:cs="Arial"/>
          <w:b/>
          <w:sz w:val="24"/>
          <w:szCs w:val="24"/>
          <w:u w:val="single"/>
        </w:rPr>
        <w:t xml:space="preserve">AO EXCELENTÍSSIMO DELEGADO DE POLÍCIA FEDERAL DA COMARCA DA </w:t>
      </w:r>
      <w:r w:rsidRPr="0032663F">
        <w:rPr>
          <w:rFonts w:ascii="Arial" w:hAnsi="Arial" w:cs="Arial"/>
          <w:b/>
          <w:color w:val="FF0000"/>
          <w:sz w:val="24"/>
          <w:szCs w:val="24"/>
          <w:u w:val="single"/>
        </w:rPr>
        <w:t>CAPITAL DE SANTA CATARINA</w:t>
      </w:r>
      <w:r w:rsidRPr="00643A88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921AC3" w:rsidRPr="006C4D92" w:rsidRDefault="009A4B86" w:rsidP="005E7B30">
      <w:pPr>
        <w:jc w:val="center"/>
        <w:rPr>
          <w:rFonts w:ascii="Arial" w:hAnsi="Arial" w:cs="Arial"/>
          <w:sz w:val="24"/>
          <w:szCs w:val="24"/>
        </w:rPr>
      </w:pPr>
      <w:r w:rsidRPr="009A4B86">
        <w:rPr>
          <w:rFonts w:ascii="Arial" w:hAnsi="Arial" w:cs="Arial"/>
          <w:sz w:val="24"/>
          <w:szCs w:val="24"/>
        </w:rPr>
        <w:t>DELEAQ</w:t>
      </w:r>
      <w:r w:rsidR="00E07297" w:rsidRPr="006C4D92">
        <w:rPr>
          <w:rFonts w:ascii="Arial" w:hAnsi="Arial" w:cs="Arial"/>
          <w:sz w:val="24"/>
          <w:szCs w:val="24"/>
        </w:rPr>
        <w:t xml:space="preserve"> – </w:t>
      </w:r>
      <w:r w:rsidRPr="009A4B86">
        <w:rPr>
          <w:rFonts w:ascii="Arial" w:hAnsi="Arial" w:cs="Arial"/>
          <w:sz w:val="24"/>
          <w:szCs w:val="24"/>
        </w:rPr>
        <w:t>Delegacia de Controle de Armas e Produtos Químicos</w:t>
      </w:r>
    </w:p>
    <w:p w:rsidR="005B7536" w:rsidRPr="006C4D92" w:rsidRDefault="005B7536">
      <w:pPr>
        <w:rPr>
          <w:rFonts w:ascii="Arial" w:hAnsi="Arial" w:cs="Arial"/>
          <w:sz w:val="24"/>
          <w:szCs w:val="24"/>
        </w:rPr>
      </w:pPr>
    </w:p>
    <w:p w:rsidR="005B7536" w:rsidRPr="006C4D92" w:rsidRDefault="005B7536">
      <w:pPr>
        <w:rPr>
          <w:rFonts w:ascii="Arial" w:hAnsi="Arial" w:cs="Arial"/>
          <w:sz w:val="24"/>
          <w:szCs w:val="24"/>
        </w:rPr>
      </w:pPr>
    </w:p>
    <w:p w:rsidR="00E609D9" w:rsidRDefault="005B7536" w:rsidP="00E609D9">
      <w:pPr>
        <w:jc w:val="center"/>
        <w:rPr>
          <w:rFonts w:ascii="Arial" w:hAnsi="Arial" w:cs="Arial"/>
          <w:b/>
          <w:sz w:val="24"/>
          <w:szCs w:val="24"/>
        </w:rPr>
      </w:pPr>
      <w:r w:rsidRPr="00E609D9">
        <w:rPr>
          <w:rFonts w:ascii="Arial" w:hAnsi="Arial" w:cs="Arial"/>
          <w:b/>
          <w:sz w:val="24"/>
          <w:szCs w:val="24"/>
        </w:rPr>
        <w:t xml:space="preserve">Referente ao </w:t>
      </w:r>
      <w:r w:rsidR="00295BE7" w:rsidRPr="00E609D9">
        <w:rPr>
          <w:rFonts w:ascii="Arial" w:hAnsi="Arial" w:cs="Arial"/>
          <w:b/>
          <w:sz w:val="24"/>
          <w:szCs w:val="24"/>
        </w:rPr>
        <w:t xml:space="preserve">Requerimento de Porte de Arma de Fogo </w:t>
      </w:r>
    </w:p>
    <w:p w:rsidR="00CF2E50" w:rsidRPr="00E609D9" w:rsidRDefault="00643A88" w:rsidP="00E609D9">
      <w:pPr>
        <w:jc w:val="center"/>
        <w:rPr>
          <w:rFonts w:ascii="Arial" w:hAnsi="Arial" w:cs="Arial"/>
          <w:b/>
          <w:sz w:val="24"/>
          <w:szCs w:val="24"/>
        </w:rPr>
      </w:pPr>
      <w:r w:rsidRPr="00E609D9">
        <w:rPr>
          <w:rFonts w:ascii="Arial" w:hAnsi="Arial" w:cs="Arial"/>
          <w:b/>
          <w:sz w:val="24"/>
          <w:szCs w:val="24"/>
        </w:rPr>
        <w:t>N</w:t>
      </w:r>
      <w:r w:rsidR="005B7536" w:rsidRPr="00E609D9">
        <w:rPr>
          <w:rFonts w:ascii="Arial" w:hAnsi="Arial" w:cs="Arial"/>
          <w:b/>
          <w:sz w:val="24"/>
          <w:szCs w:val="24"/>
        </w:rPr>
        <w:t xml:space="preserve">º </w:t>
      </w:r>
      <w:r w:rsidR="00BA4F20" w:rsidRPr="0032663F">
        <w:rPr>
          <w:rFonts w:ascii="Arial" w:hAnsi="Arial" w:cs="Arial"/>
          <w:b/>
          <w:color w:val="FF0000"/>
          <w:sz w:val="24"/>
          <w:szCs w:val="24"/>
        </w:rPr>
        <w:t>[NÚMERO DO SEU PROCESSO]</w:t>
      </w:r>
    </w:p>
    <w:p w:rsidR="005B7536" w:rsidRPr="006C4D92" w:rsidRDefault="005B7536">
      <w:pPr>
        <w:rPr>
          <w:rFonts w:ascii="Arial" w:hAnsi="Arial" w:cs="Arial"/>
          <w:sz w:val="24"/>
          <w:szCs w:val="24"/>
        </w:rPr>
      </w:pPr>
    </w:p>
    <w:p w:rsidR="00295BE7" w:rsidRPr="00295BE7" w:rsidRDefault="00643A88" w:rsidP="00295BE7">
      <w:pPr>
        <w:jc w:val="both"/>
        <w:rPr>
          <w:rFonts w:ascii="Arial" w:hAnsi="Arial" w:cs="Arial"/>
          <w:sz w:val="24"/>
          <w:szCs w:val="24"/>
        </w:rPr>
      </w:pPr>
      <w:r w:rsidRPr="00643A88">
        <w:rPr>
          <w:rFonts w:ascii="Arial" w:hAnsi="Arial" w:cs="Arial"/>
          <w:sz w:val="24"/>
          <w:szCs w:val="24"/>
        </w:rPr>
        <w:t xml:space="preserve">Eu, </w:t>
      </w:r>
      <w:r w:rsidR="00BA4F20" w:rsidRPr="0032663F">
        <w:rPr>
          <w:rFonts w:ascii="Arial" w:hAnsi="Arial" w:cs="Arial"/>
          <w:color w:val="FF0000"/>
          <w:sz w:val="24"/>
          <w:szCs w:val="24"/>
        </w:rPr>
        <w:t>[SEU NOME]</w:t>
      </w:r>
      <w:r w:rsidRPr="00643A88">
        <w:rPr>
          <w:rFonts w:ascii="Arial" w:hAnsi="Arial" w:cs="Arial"/>
          <w:sz w:val="24"/>
          <w:szCs w:val="24"/>
        </w:rPr>
        <w:t xml:space="preserve">, nascido em </w:t>
      </w:r>
      <w:r w:rsidR="00BA4F20" w:rsidRPr="0032663F">
        <w:rPr>
          <w:rFonts w:ascii="Arial" w:hAnsi="Arial" w:cs="Arial"/>
          <w:color w:val="FF0000"/>
          <w:sz w:val="24"/>
          <w:szCs w:val="24"/>
        </w:rPr>
        <w:t>[DATA FILIAÇÃO]</w:t>
      </w:r>
      <w:r w:rsidRPr="00643A88">
        <w:rPr>
          <w:rFonts w:ascii="Arial" w:hAnsi="Arial" w:cs="Arial"/>
          <w:sz w:val="24"/>
          <w:szCs w:val="24"/>
        </w:rPr>
        <w:t xml:space="preserve">, filho de </w:t>
      </w:r>
      <w:r w:rsidR="00BA4F20" w:rsidRPr="0032663F">
        <w:rPr>
          <w:rFonts w:ascii="Arial" w:hAnsi="Arial" w:cs="Arial"/>
          <w:color w:val="FF0000"/>
          <w:sz w:val="24"/>
          <w:szCs w:val="24"/>
        </w:rPr>
        <w:t>[NOME DO PAI]</w:t>
      </w:r>
      <w:r w:rsidRPr="00643A88">
        <w:rPr>
          <w:rFonts w:ascii="Arial" w:hAnsi="Arial" w:cs="Arial"/>
          <w:sz w:val="24"/>
          <w:szCs w:val="24"/>
        </w:rPr>
        <w:t xml:space="preserve"> e </w:t>
      </w:r>
      <w:r w:rsidR="00BA4F20" w:rsidRPr="0032663F">
        <w:rPr>
          <w:rFonts w:ascii="Arial" w:hAnsi="Arial" w:cs="Arial"/>
          <w:color w:val="FF0000"/>
          <w:sz w:val="24"/>
          <w:szCs w:val="24"/>
        </w:rPr>
        <w:t>[NOME DA MÃE]</w:t>
      </w:r>
      <w:r w:rsidRPr="00643A88">
        <w:rPr>
          <w:rFonts w:ascii="Arial" w:hAnsi="Arial" w:cs="Arial"/>
          <w:sz w:val="24"/>
          <w:szCs w:val="24"/>
        </w:rPr>
        <w:t xml:space="preserve">, </w:t>
      </w:r>
      <w:r w:rsidR="00BA4F20" w:rsidRPr="0032663F">
        <w:rPr>
          <w:rFonts w:ascii="Arial" w:hAnsi="Arial" w:cs="Arial"/>
          <w:color w:val="FF0000"/>
          <w:sz w:val="24"/>
          <w:szCs w:val="24"/>
        </w:rPr>
        <w:t>[PROFISSÃO]</w:t>
      </w:r>
      <w:r w:rsidRPr="00643A88">
        <w:rPr>
          <w:rFonts w:ascii="Arial" w:hAnsi="Arial" w:cs="Arial"/>
          <w:sz w:val="24"/>
          <w:szCs w:val="24"/>
        </w:rPr>
        <w:t xml:space="preserve">, portador da carteira de identidade nº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[RG]</w:t>
      </w:r>
      <w:r w:rsidRPr="00643A88">
        <w:rPr>
          <w:rFonts w:ascii="Arial" w:hAnsi="Arial" w:cs="Arial"/>
          <w:sz w:val="24"/>
          <w:szCs w:val="24"/>
        </w:rPr>
        <w:t xml:space="preserve"> –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[ORGÃO EMISSOR]</w:t>
      </w:r>
      <w:r w:rsidRPr="00643A88">
        <w:rPr>
          <w:rFonts w:ascii="Arial" w:hAnsi="Arial" w:cs="Arial"/>
          <w:sz w:val="24"/>
          <w:szCs w:val="24"/>
        </w:rPr>
        <w:t xml:space="preserve">, BRASILEIRO, natural de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[NATURALIDADE]</w:t>
      </w:r>
      <w:r w:rsidRPr="00643A88">
        <w:rPr>
          <w:rFonts w:ascii="Arial" w:hAnsi="Arial" w:cs="Arial"/>
          <w:sz w:val="24"/>
          <w:szCs w:val="24"/>
        </w:rPr>
        <w:t xml:space="preserve">, CPF nº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[CPF]</w:t>
      </w:r>
      <w:r w:rsidRPr="00643A88">
        <w:rPr>
          <w:rFonts w:ascii="Arial" w:hAnsi="Arial" w:cs="Arial"/>
          <w:sz w:val="24"/>
          <w:szCs w:val="24"/>
        </w:rPr>
        <w:t>,</w:t>
      </w:r>
      <w:r w:rsidR="00A50BFD">
        <w:rPr>
          <w:rFonts w:ascii="Arial" w:hAnsi="Arial" w:cs="Arial"/>
          <w:sz w:val="24"/>
          <w:szCs w:val="24"/>
        </w:rPr>
        <w:t xml:space="preserve"> já qualificado,</w:t>
      </w:r>
      <w:r w:rsidRPr="00643A88">
        <w:rPr>
          <w:rFonts w:ascii="Arial" w:hAnsi="Arial" w:cs="Arial"/>
          <w:sz w:val="24"/>
          <w:szCs w:val="24"/>
        </w:rPr>
        <w:t xml:space="preserve"> venho à presença desta autoridade policial responsável pelo Sistema Nacional de Armas </w:t>
      </w:r>
      <w:r>
        <w:rPr>
          <w:rFonts w:ascii="Arial" w:hAnsi="Arial" w:cs="Arial"/>
          <w:sz w:val="24"/>
          <w:szCs w:val="24"/>
        </w:rPr>
        <w:t>-</w:t>
      </w:r>
      <w:r w:rsidRPr="00643A88">
        <w:rPr>
          <w:rFonts w:ascii="Arial" w:hAnsi="Arial" w:cs="Arial"/>
          <w:sz w:val="24"/>
          <w:szCs w:val="24"/>
        </w:rPr>
        <w:t xml:space="preserve"> SINARM,</w:t>
      </w:r>
      <w:r w:rsidR="00DD7E5D" w:rsidRPr="00DD7E5D">
        <w:rPr>
          <w:rFonts w:ascii="Arial" w:hAnsi="Arial" w:cs="Arial"/>
          <w:sz w:val="24"/>
          <w:szCs w:val="24"/>
        </w:rPr>
        <w:t xml:space="preserve"> </w:t>
      </w:r>
      <w:r w:rsidR="00295BE7">
        <w:rPr>
          <w:rFonts w:ascii="Arial" w:hAnsi="Arial" w:cs="Arial"/>
          <w:sz w:val="24"/>
          <w:szCs w:val="24"/>
        </w:rPr>
        <w:t>a</w:t>
      </w:r>
      <w:r w:rsidR="00F607DD" w:rsidRPr="006C4D92">
        <w:rPr>
          <w:rFonts w:ascii="Arial" w:hAnsi="Arial" w:cs="Arial"/>
          <w:sz w:val="24"/>
          <w:szCs w:val="24"/>
        </w:rPr>
        <w:t>presentar</w:t>
      </w:r>
      <w:r w:rsidR="00295BE7">
        <w:rPr>
          <w:rFonts w:ascii="Arial" w:hAnsi="Arial" w:cs="Arial"/>
          <w:sz w:val="24"/>
          <w:szCs w:val="24"/>
        </w:rPr>
        <w:t xml:space="preserve"> recurso</w:t>
      </w:r>
      <w:r w:rsidR="00F607DD" w:rsidRPr="006C4D92">
        <w:rPr>
          <w:rFonts w:ascii="Arial" w:hAnsi="Arial" w:cs="Arial"/>
          <w:sz w:val="24"/>
          <w:szCs w:val="24"/>
        </w:rPr>
        <w:t xml:space="preserve"> </w:t>
      </w:r>
      <w:r w:rsidR="004F4354">
        <w:rPr>
          <w:rFonts w:ascii="Arial" w:hAnsi="Arial" w:cs="Arial"/>
          <w:sz w:val="24"/>
          <w:szCs w:val="24"/>
        </w:rPr>
        <w:t>contra o</w:t>
      </w:r>
      <w:r w:rsidR="00F607DD" w:rsidRPr="006C4D92">
        <w:rPr>
          <w:rFonts w:ascii="Arial" w:hAnsi="Arial" w:cs="Arial"/>
          <w:sz w:val="24"/>
          <w:szCs w:val="24"/>
        </w:rPr>
        <w:t xml:space="preserve"> </w:t>
      </w:r>
      <w:r w:rsidR="00295BE7">
        <w:rPr>
          <w:rFonts w:ascii="Arial" w:hAnsi="Arial" w:cs="Arial"/>
          <w:sz w:val="24"/>
          <w:szCs w:val="24"/>
        </w:rPr>
        <w:t xml:space="preserve">indeferimento do </w:t>
      </w:r>
      <w:r w:rsidR="00295BE7" w:rsidRPr="00295BE7">
        <w:rPr>
          <w:rFonts w:ascii="Arial" w:hAnsi="Arial" w:cs="Arial"/>
          <w:sz w:val="24"/>
          <w:szCs w:val="24"/>
        </w:rPr>
        <w:t>Requerimento de Porte de Arma de Fogo</w:t>
      </w:r>
      <w:r w:rsidR="0094192C">
        <w:rPr>
          <w:rFonts w:ascii="Arial" w:hAnsi="Arial" w:cs="Arial"/>
          <w:sz w:val="24"/>
          <w:szCs w:val="24"/>
        </w:rPr>
        <w:t>, nos termos do Artigo 67º da instrução normativa nº</w:t>
      </w:r>
      <w:r w:rsidR="0094192C" w:rsidRPr="0094192C">
        <w:rPr>
          <w:rFonts w:ascii="Arial" w:hAnsi="Arial" w:cs="Arial"/>
          <w:sz w:val="24"/>
          <w:szCs w:val="24"/>
        </w:rPr>
        <w:t xml:space="preserve"> 131-DG/PF, de 14 de novembro de 2018</w:t>
      </w:r>
      <w:r w:rsidR="00295BE7">
        <w:rPr>
          <w:rFonts w:ascii="Arial" w:hAnsi="Arial" w:cs="Arial"/>
          <w:sz w:val="24"/>
          <w:szCs w:val="24"/>
        </w:rPr>
        <w:t>.</w:t>
      </w:r>
    </w:p>
    <w:p w:rsidR="006C4D92" w:rsidRDefault="006C4D92" w:rsidP="00F607DD">
      <w:pPr>
        <w:rPr>
          <w:rFonts w:ascii="Arial" w:hAnsi="Arial" w:cs="Arial"/>
          <w:sz w:val="24"/>
          <w:szCs w:val="24"/>
        </w:rPr>
      </w:pPr>
    </w:p>
    <w:p w:rsidR="00DD7E5D" w:rsidRPr="006C4D92" w:rsidRDefault="00DD7E5D" w:rsidP="00F607DD">
      <w:pPr>
        <w:rPr>
          <w:rFonts w:ascii="Arial" w:hAnsi="Arial" w:cs="Arial"/>
          <w:sz w:val="24"/>
          <w:szCs w:val="24"/>
        </w:rPr>
      </w:pPr>
    </w:p>
    <w:p w:rsidR="00E07297" w:rsidRPr="006C4D92" w:rsidRDefault="00E07297" w:rsidP="00E072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D92">
        <w:rPr>
          <w:rFonts w:ascii="Arial" w:hAnsi="Arial" w:cs="Arial"/>
          <w:b/>
          <w:sz w:val="28"/>
          <w:szCs w:val="28"/>
          <w:u w:val="single"/>
        </w:rPr>
        <w:t xml:space="preserve">RECURSO CONTRA </w:t>
      </w:r>
      <w:r w:rsidR="00295BE7">
        <w:rPr>
          <w:rFonts w:ascii="Arial" w:hAnsi="Arial" w:cs="Arial"/>
          <w:b/>
          <w:sz w:val="28"/>
          <w:szCs w:val="28"/>
          <w:u w:val="single"/>
        </w:rPr>
        <w:t xml:space="preserve">INDEFERIMENTO DO </w:t>
      </w:r>
      <w:r w:rsidR="00295BE7" w:rsidRPr="00295BE7">
        <w:rPr>
          <w:rFonts w:ascii="Arial" w:hAnsi="Arial" w:cs="Arial"/>
          <w:b/>
          <w:sz w:val="28"/>
          <w:szCs w:val="28"/>
          <w:u w:val="single"/>
        </w:rPr>
        <w:t>REQUERIMENTO DE PORTE DE ARMA DE FOGO</w:t>
      </w:r>
    </w:p>
    <w:p w:rsidR="00E07297" w:rsidRDefault="00E07297" w:rsidP="00F607DD"/>
    <w:p w:rsidR="006C4D92" w:rsidRDefault="006C4D92" w:rsidP="00F607DD"/>
    <w:p w:rsidR="00E07297" w:rsidRPr="006C4D92" w:rsidRDefault="006C4D92" w:rsidP="00E609D9">
      <w:pPr>
        <w:spacing w:before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4D92">
        <w:rPr>
          <w:rFonts w:ascii="Arial" w:hAnsi="Arial" w:cs="Arial"/>
          <w:b/>
          <w:sz w:val="24"/>
          <w:szCs w:val="24"/>
          <w:u w:val="single"/>
        </w:rPr>
        <w:t xml:space="preserve">I - </w:t>
      </w:r>
      <w:r w:rsidR="00E07297" w:rsidRPr="006C4D92">
        <w:rPr>
          <w:rFonts w:ascii="Arial" w:hAnsi="Arial" w:cs="Arial"/>
          <w:b/>
          <w:sz w:val="24"/>
          <w:szCs w:val="24"/>
          <w:u w:val="single"/>
        </w:rPr>
        <w:t>DO PRAZO RECURSAL</w:t>
      </w:r>
    </w:p>
    <w:p w:rsidR="00E07297" w:rsidRPr="00902446" w:rsidRDefault="00E07297" w:rsidP="00E609D9">
      <w:pPr>
        <w:spacing w:before="120"/>
        <w:rPr>
          <w:rFonts w:ascii="Arial" w:hAnsi="Arial" w:cs="Arial"/>
          <w:sz w:val="24"/>
          <w:szCs w:val="24"/>
        </w:rPr>
      </w:pPr>
    </w:p>
    <w:p w:rsidR="00E07297" w:rsidRPr="00902446" w:rsidRDefault="00E07297" w:rsidP="00E609D9">
      <w:pPr>
        <w:spacing w:before="120" w:after="360"/>
        <w:jc w:val="both"/>
        <w:rPr>
          <w:rFonts w:ascii="Arial" w:hAnsi="Arial" w:cs="Arial"/>
          <w:sz w:val="24"/>
          <w:szCs w:val="24"/>
        </w:rPr>
      </w:pPr>
      <w:r w:rsidRPr="00902446">
        <w:rPr>
          <w:rFonts w:ascii="Arial" w:hAnsi="Arial" w:cs="Arial"/>
          <w:sz w:val="24"/>
          <w:szCs w:val="24"/>
        </w:rPr>
        <w:t xml:space="preserve">Segundo estabelece o </w:t>
      </w:r>
      <w:r w:rsidR="004B7EA8">
        <w:rPr>
          <w:rFonts w:ascii="Arial" w:hAnsi="Arial" w:cs="Arial"/>
          <w:sz w:val="24"/>
          <w:szCs w:val="24"/>
        </w:rPr>
        <w:t xml:space="preserve">artigo </w:t>
      </w:r>
      <w:r w:rsidR="006C4D92">
        <w:rPr>
          <w:rFonts w:ascii="Arial" w:hAnsi="Arial" w:cs="Arial"/>
          <w:sz w:val="24"/>
          <w:szCs w:val="24"/>
        </w:rPr>
        <w:t>Nº</w:t>
      </w:r>
      <w:r w:rsidRPr="00902446">
        <w:rPr>
          <w:rFonts w:ascii="Arial" w:hAnsi="Arial" w:cs="Arial"/>
          <w:sz w:val="24"/>
          <w:szCs w:val="24"/>
        </w:rPr>
        <w:t xml:space="preserve"> </w:t>
      </w:r>
      <w:r w:rsidR="004B7EA8">
        <w:rPr>
          <w:rFonts w:ascii="Arial" w:hAnsi="Arial" w:cs="Arial"/>
          <w:sz w:val="24"/>
          <w:szCs w:val="24"/>
        </w:rPr>
        <w:t>67</w:t>
      </w:r>
      <w:r w:rsidRPr="00902446">
        <w:rPr>
          <w:rFonts w:ascii="Arial" w:hAnsi="Arial" w:cs="Arial"/>
          <w:sz w:val="24"/>
          <w:szCs w:val="24"/>
        </w:rPr>
        <w:t xml:space="preserve"> </w:t>
      </w:r>
      <w:r w:rsidR="008560E6">
        <w:rPr>
          <w:rFonts w:ascii="Arial" w:hAnsi="Arial" w:cs="Arial"/>
          <w:sz w:val="24"/>
          <w:szCs w:val="24"/>
        </w:rPr>
        <w:t>da I</w:t>
      </w:r>
      <w:r w:rsidR="008560E6" w:rsidRPr="008560E6">
        <w:rPr>
          <w:rFonts w:ascii="Arial" w:hAnsi="Arial" w:cs="Arial"/>
          <w:sz w:val="24"/>
          <w:szCs w:val="24"/>
        </w:rPr>
        <w:t xml:space="preserve">nstrução </w:t>
      </w:r>
      <w:r w:rsidR="008560E6">
        <w:rPr>
          <w:rFonts w:ascii="Arial" w:hAnsi="Arial" w:cs="Arial"/>
          <w:sz w:val="24"/>
          <w:szCs w:val="24"/>
        </w:rPr>
        <w:t>N</w:t>
      </w:r>
      <w:r w:rsidR="008560E6" w:rsidRPr="008560E6">
        <w:rPr>
          <w:rFonts w:ascii="Arial" w:hAnsi="Arial" w:cs="Arial"/>
          <w:sz w:val="24"/>
          <w:szCs w:val="24"/>
        </w:rPr>
        <w:t xml:space="preserve">ormativa </w:t>
      </w:r>
      <w:r w:rsidR="008560E6">
        <w:rPr>
          <w:rFonts w:ascii="Arial" w:hAnsi="Arial" w:cs="Arial"/>
          <w:sz w:val="24"/>
          <w:szCs w:val="24"/>
        </w:rPr>
        <w:t>N</w:t>
      </w:r>
      <w:r w:rsidR="008560E6" w:rsidRPr="008560E6">
        <w:rPr>
          <w:rFonts w:ascii="Arial" w:hAnsi="Arial" w:cs="Arial"/>
          <w:sz w:val="24"/>
          <w:szCs w:val="24"/>
        </w:rPr>
        <w:t>º 131-DG/PF, de 14 de novembro de 2018</w:t>
      </w:r>
      <w:r w:rsidRPr="00902446">
        <w:rPr>
          <w:rFonts w:ascii="Arial" w:hAnsi="Arial" w:cs="Arial"/>
          <w:sz w:val="24"/>
          <w:szCs w:val="24"/>
        </w:rPr>
        <w:t>:</w:t>
      </w:r>
    </w:p>
    <w:p w:rsidR="00267B4A" w:rsidRPr="00902446" w:rsidRDefault="00E07297" w:rsidP="00E609D9">
      <w:pPr>
        <w:spacing w:after="360"/>
        <w:ind w:left="1134"/>
        <w:jc w:val="both"/>
        <w:rPr>
          <w:rFonts w:ascii="Arial" w:hAnsi="Arial" w:cs="Arial"/>
          <w:sz w:val="24"/>
          <w:szCs w:val="24"/>
        </w:rPr>
      </w:pPr>
      <w:r w:rsidRPr="006C4D92">
        <w:rPr>
          <w:rFonts w:ascii="Arial" w:hAnsi="Arial" w:cs="Arial"/>
        </w:rPr>
        <w:t>“</w:t>
      </w:r>
      <w:r w:rsidR="004B7EA8" w:rsidRPr="004B7EA8">
        <w:rPr>
          <w:rFonts w:ascii="Arial" w:hAnsi="Arial" w:cs="Arial"/>
        </w:rPr>
        <w:t>Das decisões administrativas cabe recurso, no prazo de 10 (dez) dias após a ciência</w:t>
      </w:r>
      <w:r w:rsidRPr="006C4D92">
        <w:rPr>
          <w:rFonts w:ascii="Arial" w:hAnsi="Arial" w:cs="Arial"/>
        </w:rPr>
        <w:t>.”.</w:t>
      </w:r>
    </w:p>
    <w:p w:rsidR="00267B4A" w:rsidRPr="00902446" w:rsidRDefault="00E07297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902446">
        <w:rPr>
          <w:rFonts w:ascii="Arial" w:hAnsi="Arial" w:cs="Arial"/>
          <w:sz w:val="24"/>
          <w:szCs w:val="24"/>
        </w:rPr>
        <w:t xml:space="preserve">Assim sendo, tendo em vista que </w:t>
      </w:r>
      <w:r w:rsidR="004B7EA8">
        <w:rPr>
          <w:rFonts w:ascii="Arial" w:hAnsi="Arial" w:cs="Arial"/>
          <w:sz w:val="24"/>
          <w:szCs w:val="24"/>
        </w:rPr>
        <w:t>a</w:t>
      </w:r>
      <w:r w:rsidR="008560E6">
        <w:rPr>
          <w:rFonts w:ascii="Arial" w:hAnsi="Arial" w:cs="Arial"/>
          <w:sz w:val="24"/>
          <w:szCs w:val="24"/>
        </w:rPr>
        <w:t xml:space="preserve"> comunicação da</w:t>
      </w:r>
      <w:r w:rsidR="004B7EA8">
        <w:rPr>
          <w:rFonts w:ascii="Arial" w:hAnsi="Arial" w:cs="Arial"/>
          <w:sz w:val="24"/>
          <w:szCs w:val="24"/>
        </w:rPr>
        <w:t xml:space="preserve"> decisão pelo indeferimento ocorreu em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[DATA DO INDEFERIMENTO]</w:t>
      </w:r>
      <w:r w:rsidR="00267B4A" w:rsidRPr="00902446">
        <w:rPr>
          <w:rFonts w:ascii="Arial" w:hAnsi="Arial" w:cs="Arial"/>
          <w:sz w:val="24"/>
          <w:szCs w:val="24"/>
        </w:rPr>
        <w:t xml:space="preserve">, dessume-se que o prazo para apresentação de </w:t>
      </w:r>
      <w:r w:rsidR="004B7EA8">
        <w:rPr>
          <w:rFonts w:ascii="Arial" w:hAnsi="Arial" w:cs="Arial"/>
          <w:sz w:val="24"/>
          <w:szCs w:val="24"/>
        </w:rPr>
        <w:t>recurso</w:t>
      </w:r>
      <w:r w:rsidR="00267B4A" w:rsidRPr="00902446">
        <w:rPr>
          <w:rFonts w:ascii="Arial" w:hAnsi="Arial" w:cs="Arial"/>
          <w:sz w:val="24"/>
          <w:szCs w:val="24"/>
        </w:rPr>
        <w:t xml:space="preserve"> encerra-se em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DATA FINAL – 10 DIAS CORRIDOS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]</w:t>
      </w:r>
      <w:r w:rsidR="00267B4A" w:rsidRPr="00902446">
        <w:rPr>
          <w:rFonts w:ascii="Arial" w:hAnsi="Arial" w:cs="Arial"/>
          <w:sz w:val="24"/>
          <w:szCs w:val="24"/>
        </w:rPr>
        <w:t>.</w:t>
      </w:r>
    </w:p>
    <w:p w:rsidR="00E07297" w:rsidRDefault="00E07297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E609D9" w:rsidRDefault="00E609D9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5E7B30" w:rsidRPr="006C4D92" w:rsidRDefault="006C4D92" w:rsidP="00E609D9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II - </w:t>
      </w:r>
      <w:r w:rsidR="00A6654C" w:rsidRPr="006C4D92">
        <w:rPr>
          <w:rFonts w:ascii="Arial" w:hAnsi="Arial" w:cs="Arial"/>
          <w:b/>
          <w:sz w:val="24"/>
          <w:szCs w:val="24"/>
          <w:u w:val="single"/>
        </w:rPr>
        <w:t>DOS FATOS</w:t>
      </w:r>
    </w:p>
    <w:p w:rsidR="006C4D92" w:rsidRPr="00902446" w:rsidRDefault="006C4D92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0D7DFA" w:rsidRDefault="008544AD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902446">
        <w:rPr>
          <w:rFonts w:ascii="Arial" w:hAnsi="Arial" w:cs="Arial"/>
          <w:sz w:val="24"/>
          <w:szCs w:val="24"/>
        </w:rPr>
        <w:t>Precisamente</w:t>
      </w:r>
      <w:r w:rsidR="00A6654C" w:rsidRPr="00902446">
        <w:rPr>
          <w:rFonts w:ascii="Arial" w:hAnsi="Arial" w:cs="Arial"/>
          <w:sz w:val="24"/>
          <w:szCs w:val="24"/>
        </w:rPr>
        <w:t>,</w:t>
      </w:r>
      <w:r w:rsidRPr="00902446">
        <w:rPr>
          <w:rFonts w:ascii="Arial" w:hAnsi="Arial" w:cs="Arial"/>
          <w:sz w:val="24"/>
          <w:szCs w:val="24"/>
        </w:rPr>
        <w:t xml:space="preserve"> no dia </w:t>
      </w:r>
      <w:r w:rsidR="000D7DFA">
        <w:rPr>
          <w:rFonts w:ascii="Arial" w:hAnsi="Arial" w:cs="Arial"/>
          <w:sz w:val="24"/>
          <w:szCs w:val="24"/>
        </w:rPr>
        <w:t>15</w:t>
      </w:r>
      <w:r w:rsidRPr="00902446">
        <w:rPr>
          <w:rFonts w:ascii="Arial" w:hAnsi="Arial" w:cs="Arial"/>
          <w:sz w:val="24"/>
          <w:szCs w:val="24"/>
        </w:rPr>
        <w:t>/0</w:t>
      </w:r>
      <w:r w:rsidR="000D7DFA">
        <w:rPr>
          <w:rFonts w:ascii="Arial" w:hAnsi="Arial" w:cs="Arial"/>
          <w:sz w:val="24"/>
          <w:szCs w:val="24"/>
        </w:rPr>
        <w:t>5</w:t>
      </w:r>
      <w:r w:rsidRPr="00902446">
        <w:rPr>
          <w:rFonts w:ascii="Arial" w:hAnsi="Arial" w:cs="Arial"/>
          <w:sz w:val="24"/>
          <w:szCs w:val="24"/>
        </w:rPr>
        <w:t xml:space="preserve">/2019 </w:t>
      </w:r>
      <w:r w:rsidR="000D7DFA">
        <w:rPr>
          <w:rFonts w:ascii="Arial" w:hAnsi="Arial" w:cs="Arial"/>
          <w:sz w:val="24"/>
          <w:szCs w:val="24"/>
        </w:rPr>
        <w:t xml:space="preserve">protocolizei o </w:t>
      </w:r>
      <w:r w:rsidR="000D7DFA" w:rsidRPr="000D7DFA">
        <w:rPr>
          <w:rFonts w:ascii="Arial" w:hAnsi="Arial" w:cs="Arial"/>
          <w:sz w:val="24"/>
          <w:szCs w:val="24"/>
        </w:rPr>
        <w:t>Requerimento de Porte de Arma de Fogo</w:t>
      </w:r>
      <w:r w:rsidR="000D7DFA">
        <w:rPr>
          <w:rFonts w:ascii="Arial" w:hAnsi="Arial" w:cs="Arial"/>
          <w:sz w:val="24"/>
          <w:szCs w:val="24"/>
        </w:rPr>
        <w:t xml:space="preserve"> com base nos requisitos objetivos constantes na </w:t>
      </w:r>
      <w:r w:rsidR="00BB6472">
        <w:rPr>
          <w:rFonts w:ascii="Arial" w:hAnsi="Arial" w:cs="Arial"/>
          <w:sz w:val="24"/>
          <w:szCs w:val="24"/>
        </w:rPr>
        <w:t>L</w:t>
      </w:r>
      <w:r w:rsidR="000D7DFA">
        <w:rPr>
          <w:rFonts w:ascii="Arial" w:hAnsi="Arial" w:cs="Arial"/>
          <w:sz w:val="24"/>
          <w:szCs w:val="24"/>
        </w:rPr>
        <w:t xml:space="preserve">ei </w:t>
      </w:r>
      <w:r w:rsidR="00BB6472" w:rsidRPr="009D3B46">
        <w:rPr>
          <w:rFonts w:ascii="Arial" w:hAnsi="Arial" w:cs="Arial"/>
          <w:sz w:val="24"/>
          <w:szCs w:val="24"/>
        </w:rPr>
        <w:t>Nº</w:t>
      </w:r>
      <w:r w:rsidR="00BB6472" w:rsidRPr="00BB6472">
        <w:rPr>
          <w:rFonts w:ascii="Arial" w:hAnsi="Arial" w:cs="Arial"/>
          <w:sz w:val="24"/>
          <w:szCs w:val="24"/>
        </w:rPr>
        <w:t xml:space="preserve"> 10.826</w:t>
      </w:r>
      <w:r w:rsidR="00BB6472">
        <w:rPr>
          <w:rFonts w:ascii="Arial" w:hAnsi="Arial" w:cs="Arial"/>
          <w:sz w:val="24"/>
          <w:szCs w:val="24"/>
        </w:rPr>
        <w:t>/</w:t>
      </w:r>
      <w:r w:rsidR="00BB6472" w:rsidRPr="00BB6472">
        <w:rPr>
          <w:rFonts w:ascii="Arial" w:hAnsi="Arial" w:cs="Arial"/>
          <w:sz w:val="24"/>
          <w:szCs w:val="24"/>
        </w:rPr>
        <w:t>2003</w:t>
      </w:r>
      <w:r w:rsidR="00BB6472">
        <w:rPr>
          <w:rFonts w:ascii="Arial" w:hAnsi="Arial" w:cs="Arial"/>
          <w:sz w:val="24"/>
          <w:szCs w:val="24"/>
        </w:rPr>
        <w:t xml:space="preserve"> </w:t>
      </w:r>
      <w:r w:rsidR="000D7DFA">
        <w:rPr>
          <w:rFonts w:ascii="Arial" w:hAnsi="Arial" w:cs="Arial"/>
          <w:sz w:val="24"/>
          <w:szCs w:val="24"/>
        </w:rPr>
        <w:t>e no seu regulamento vigente na época (</w:t>
      </w:r>
      <w:r w:rsidR="009D3B46" w:rsidRPr="009D3B46">
        <w:rPr>
          <w:rFonts w:ascii="Arial" w:hAnsi="Arial" w:cs="Arial"/>
          <w:sz w:val="24"/>
          <w:szCs w:val="24"/>
        </w:rPr>
        <w:t>Decreto Nº 9.785</w:t>
      </w:r>
      <w:r w:rsidR="009D3B46">
        <w:rPr>
          <w:rFonts w:ascii="Arial" w:hAnsi="Arial" w:cs="Arial"/>
          <w:sz w:val="24"/>
          <w:szCs w:val="24"/>
        </w:rPr>
        <w:t>/2019</w:t>
      </w:r>
      <w:r w:rsidR="000D7DFA">
        <w:rPr>
          <w:rFonts w:ascii="Arial" w:hAnsi="Arial" w:cs="Arial"/>
          <w:sz w:val="24"/>
          <w:szCs w:val="24"/>
        </w:rPr>
        <w:t>).</w:t>
      </w:r>
    </w:p>
    <w:p w:rsidR="00C33541" w:rsidRDefault="00C33541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de cumprir t</w:t>
      </w:r>
      <w:r w:rsidR="00BB6472">
        <w:rPr>
          <w:rFonts w:ascii="Arial" w:hAnsi="Arial" w:cs="Arial"/>
          <w:sz w:val="24"/>
          <w:szCs w:val="24"/>
        </w:rPr>
        <w:t xml:space="preserve">odos os requisitos </w:t>
      </w:r>
      <w:r>
        <w:rPr>
          <w:rFonts w:ascii="Arial" w:hAnsi="Arial" w:cs="Arial"/>
          <w:sz w:val="24"/>
          <w:szCs w:val="24"/>
        </w:rPr>
        <w:t>objetivos estabelecidos (</w:t>
      </w:r>
      <w:r w:rsidRPr="00C33541">
        <w:rPr>
          <w:rFonts w:ascii="Arial" w:hAnsi="Arial" w:cs="Arial"/>
          <w:sz w:val="24"/>
          <w:szCs w:val="24"/>
        </w:rPr>
        <w:t>comprovação de idoneidade</w:t>
      </w:r>
      <w:r>
        <w:rPr>
          <w:rFonts w:ascii="Arial" w:hAnsi="Arial" w:cs="Arial"/>
          <w:sz w:val="24"/>
          <w:szCs w:val="24"/>
        </w:rPr>
        <w:t>, capacidade técnica, aptidão psicologia, ocupação licita e residência certa</w:t>
      </w:r>
      <w:r w:rsidR="00CB00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0014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), requeri o porte de armas com base em duas previsões legais</w:t>
      </w:r>
      <w:r w:rsidR="0081536D">
        <w:rPr>
          <w:rFonts w:ascii="Arial" w:hAnsi="Arial" w:cs="Arial"/>
          <w:sz w:val="24"/>
          <w:szCs w:val="24"/>
        </w:rPr>
        <w:t xml:space="preserve"> vigentes</w:t>
      </w:r>
      <w:r>
        <w:rPr>
          <w:rFonts w:ascii="Arial" w:hAnsi="Arial" w:cs="Arial"/>
          <w:sz w:val="24"/>
          <w:szCs w:val="24"/>
        </w:rPr>
        <w:t>:</w:t>
      </w:r>
    </w:p>
    <w:p w:rsidR="00222CDB" w:rsidRDefault="00222CDB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222CDB">
        <w:rPr>
          <w:rFonts w:ascii="Arial" w:hAnsi="Arial" w:cs="Arial"/>
          <w:sz w:val="24"/>
          <w:szCs w:val="24"/>
        </w:rPr>
        <w:t>1 - Porte justificado com base no Artigo 10, § 1º, inciso I da Lei Nº 10.826/03 (Estatuto do Desarmamento) em concomitante com o artigo 20, § 3º, inciso II do Decreto Nº 9.785/19, que estabelece que o caçador com Certificado de Registro de Arma de Fogo expedido pelo Comando do Exército, apresenta efetiva necessidade por exercício de atividade profissional de risco (Caçador registrado no Exército)</w:t>
      </w:r>
      <w:r w:rsidR="00F914C5">
        <w:rPr>
          <w:rFonts w:ascii="Arial" w:hAnsi="Arial" w:cs="Arial"/>
          <w:sz w:val="24"/>
          <w:szCs w:val="24"/>
        </w:rPr>
        <w:t>, conforme vemos abaixo:</w:t>
      </w:r>
    </w:p>
    <w:p w:rsidR="0081536D" w:rsidRPr="0088682A" w:rsidRDefault="0088682A" w:rsidP="00E609D9">
      <w:pPr>
        <w:spacing w:after="3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1536D" w:rsidRPr="0088682A">
        <w:rPr>
          <w:rFonts w:ascii="Arial" w:hAnsi="Arial" w:cs="Arial"/>
        </w:rPr>
        <w:t xml:space="preserve">Art. 10. A autorização para o porte de arma de fogo de uso permitido, em todo o território nacional, é de competência da Polícia Federal e somente será concedida após autorização do </w:t>
      </w:r>
      <w:proofErr w:type="spellStart"/>
      <w:r w:rsidR="0081536D" w:rsidRPr="0088682A">
        <w:rPr>
          <w:rFonts w:ascii="Arial" w:hAnsi="Arial" w:cs="Arial"/>
        </w:rPr>
        <w:t>Sinarm</w:t>
      </w:r>
      <w:proofErr w:type="spellEnd"/>
      <w:r w:rsidR="0081536D" w:rsidRPr="0088682A">
        <w:rPr>
          <w:rFonts w:ascii="Arial" w:hAnsi="Arial" w:cs="Arial"/>
        </w:rPr>
        <w:t>.</w:t>
      </w:r>
    </w:p>
    <w:p w:rsidR="0081536D" w:rsidRPr="0088682A" w:rsidRDefault="0081536D" w:rsidP="00E609D9">
      <w:pPr>
        <w:spacing w:after="360"/>
        <w:ind w:left="1134"/>
        <w:jc w:val="both"/>
        <w:rPr>
          <w:rFonts w:ascii="Arial" w:hAnsi="Arial" w:cs="Arial"/>
        </w:rPr>
      </w:pPr>
      <w:r w:rsidRPr="0088682A">
        <w:rPr>
          <w:rFonts w:ascii="Arial" w:hAnsi="Arial" w:cs="Arial"/>
        </w:rPr>
        <w:t>§ 1</w:t>
      </w:r>
      <w:r w:rsidR="0088682A">
        <w:rPr>
          <w:rFonts w:ascii="Arial" w:hAnsi="Arial" w:cs="Arial"/>
        </w:rPr>
        <w:t>º</w:t>
      </w:r>
      <w:r w:rsidRPr="0088682A">
        <w:rPr>
          <w:rFonts w:ascii="Arial" w:hAnsi="Arial" w:cs="Arial"/>
        </w:rPr>
        <w:t xml:space="preserve"> A autorização prevista neste artigo poderá ser concedida com eficácia temporária e territorial limitada, nos termos de atos regulamentares, e dependerá de o requerente:</w:t>
      </w:r>
    </w:p>
    <w:p w:rsidR="0088682A" w:rsidRDefault="0081536D" w:rsidP="00E609D9">
      <w:pPr>
        <w:spacing w:after="360"/>
        <w:ind w:left="1134"/>
        <w:jc w:val="both"/>
        <w:rPr>
          <w:rFonts w:ascii="Arial" w:hAnsi="Arial" w:cs="Arial"/>
        </w:rPr>
      </w:pPr>
      <w:r w:rsidRPr="0088682A">
        <w:rPr>
          <w:rFonts w:ascii="Arial" w:hAnsi="Arial" w:cs="Arial"/>
        </w:rPr>
        <w:t xml:space="preserve">I – demonstrar a sua efetiva necessidade por exercício de atividade profissional de risco ou de ameaça à sua integridade </w:t>
      </w:r>
      <w:proofErr w:type="gramStart"/>
      <w:r w:rsidRPr="0088682A">
        <w:rPr>
          <w:rFonts w:ascii="Arial" w:hAnsi="Arial" w:cs="Arial"/>
        </w:rPr>
        <w:t>física;</w:t>
      </w:r>
      <w:r w:rsidR="0088682A">
        <w:rPr>
          <w:rFonts w:ascii="Arial" w:hAnsi="Arial" w:cs="Arial"/>
        </w:rPr>
        <w:t>”</w:t>
      </w:r>
      <w:proofErr w:type="gramEnd"/>
      <w:r w:rsidR="0088682A">
        <w:rPr>
          <w:rFonts w:ascii="Arial" w:hAnsi="Arial" w:cs="Arial"/>
        </w:rPr>
        <w:t xml:space="preserve">. </w:t>
      </w:r>
      <w:r w:rsidR="0088682A" w:rsidRPr="00222CDB">
        <w:rPr>
          <w:rFonts w:ascii="Arial" w:hAnsi="Arial" w:cs="Arial"/>
          <w:i/>
        </w:rPr>
        <w:t>LEI Nº 10.826, DE 22 DE DEZEMBRO DE 2003</w:t>
      </w:r>
      <w:r w:rsidR="0088682A" w:rsidRPr="00222CDB">
        <w:rPr>
          <w:rFonts w:ascii="Arial" w:hAnsi="Arial" w:cs="Arial"/>
        </w:rPr>
        <w:t>.</w:t>
      </w:r>
    </w:p>
    <w:p w:rsidR="0088682A" w:rsidRPr="00F914C5" w:rsidRDefault="0088682A" w:rsidP="00E609D9">
      <w:pPr>
        <w:spacing w:after="360"/>
        <w:jc w:val="both"/>
        <w:rPr>
          <w:rFonts w:ascii="Arial" w:hAnsi="Arial" w:cs="Arial"/>
          <w:sz w:val="24"/>
        </w:rPr>
      </w:pPr>
      <w:r w:rsidRPr="00F914C5">
        <w:rPr>
          <w:rFonts w:ascii="Arial" w:hAnsi="Arial" w:cs="Arial"/>
          <w:sz w:val="24"/>
        </w:rPr>
        <w:t>Concomitante com:</w:t>
      </w:r>
    </w:p>
    <w:p w:rsidR="00F914C5" w:rsidRPr="00F914C5" w:rsidRDefault="00F914C5" w:rsidP="00E609D9">
      <w:pPr>
        <w:spacing w:after="360"/>
        <w:ind w:left="1134"/>
        <w:jc w:val="both"/>
        <w:rPr>
          <w:rFonts w:ascii="Arial" w:hAnsi="Arial" w:cs="Arial"/>
        </w:rPr>
      </w:pPr>
      <w:r w:rsidRPr="00F914C5">
        <w:rPr>
          <w:rFonts w:ascii="Arial" w:hAnsi="Arial" w:cs="Arial"/>
        </w:rPr>
        <w:t xml:space="preserve">“Art. 20.  O porte de arma de fogo, expedido pela Polícia Federal, é pessoal, intransferível, terá validade no território nacional e garantirá o direito de portar consigo qualquer arma de fogo, acessório ou munição do acervo do interessado com registro válido no </w:t>
      </w:r>
      <w:proofErr w:type="spellStart"/>
      <w:r w:rsidRPr="00F914C5">
        <w:rPr>
          <w:rFonts w:ascii="Arial" w:hAnsi="Arial" w:cs="Arial"/>
        </w:rPr>
        <w:t>Sinarm</w:t>
      </w:r>
      <w:proofErr w:type="spellEnd"/>
      <w:r w:rsidRPr="00F914C5">
        <w:rPr>
          <w:rFonts w:ascii="Arial" w:hAnsi="Arial" w:cs="Arial"/>
        </w:rPr>
        <w:t xml:space="preserve"> ou no Sigma, conforme o caso, por meio da apresentação do documento de identificação do portador.</w:t>
      </w:r>
    </w:p>
    <w:p w:rsidR="00F914C5" w:rsidRPr="00F914C5" w:rsidRDefault="00F914C5" w:rsidP="00E609D9">
      <w:pPr>
        <w:spacing w:after="360"/>
        <w:ind w:left="1134"/>
        <w:jc w:val="both"/>
        <w:rPr>
          <w:rFonts w:ascii="Arial" w:hAnsi="Arial" w:cs="Arial"/>
        </w:rPr>
      </w:pPr>
      <w:r w:rsidRPr="00F914C5">
        <w:rPr>
          <w:rFonts w:ascii="Arial" w:hAnsi="Arial" w:cs="Arial"/>
        </w:rPr>
        <w:t>§ 3º</w:t>
      </w:r>
      <w:r w:rsidR="00B830AC">
        <w:rPr>
          <w:rFonts w:ascii="Arial" w:hAnsi="Arial" w:cs="Arial"/>
        </w:rPr>
        <w:t xml:space="preserve"> </w:t>
      </w:r>
      <w:r w:rsidRPr="00F914C5">
        <w:rPr>
          <w:rFonts w:ascii="Arial" w:hAnsi="Arial" w:cs="Arial"/>
        </w:rPr>
        <w:t>Considera-se cumprido o requisito previsto no inciso I do § 1º do art. 10 da Lei nº 10.826, de 2003, quando o requerente for:</w:t>
      </w:r>
    </w:p>
    <w:p w:rsidR="0088682A" w:rsidRPr="00F914C5" w:rsidRDefault="00F914C5" w:rsidP="00E609D9">
      <w:pPr>
        <w:spacing w:after="360"/>
        <w:ind w:left="1134"/>
        <w:jc w:val="both"/>
        <w:rPr>
          <w:rFonts w:ascii="Arial" w:hAnsi="Arial" w:cs="Arial"/>
          <w:i/>
        </w:rPr>
      </w:pPr>
      <w:r w:rsidRPr="00F914C5">
        <w:rPr>
          <w:rFonts w:ascii="Arial" w:hAnsi="Arial" w:cs="Arial"/>
        </w:rPr>
        <w:t xml:space="preserve">II - colecionador ou caçador com Certificado de Registro de Arma de Fogo expedido pelo Comando do </w:t>
      </w:r>
      <w:proofErr w:type="gramStart"/>
      <w:r w:rsidRPr="00F914C5">
        <w:rPr>
          <w:rFonts w:ascii="Arial" w:hAnsi="Arial" w:cs="Arial"/>
        </w:rPr>
        <w:t>Exército;”</w:t>
      </w:r>
      <w:proofErr w:type="gramEnd"/>
      <w:r w:rsidRPr="00F914C5">
        <w:rPr>
          <w:rFonts w:ascii="Arial" w:hAnsi="Arial" w:cs="Arial"/>
        </w:rPr>
        <w:t xml:space="preserve">. </w:t>
      </w:r>
      <w:r w:rsidRPr="00F914C5">
        <w:rPr>
          <w:rFonts w:ascii="Arial" w:hAnsi="Arial" w:cs="Arial"/>
          <w:i/>
        </w:rPr>
        <w:t>DECRETO Nº 9.785, DE 7 DE MAIO DE 2019.</w:t>
      </w:r>
    </w:p>
    <w:p w:rsidR="0081536D" w:rsidRPr="0088682A" w:rsidRDefault="0081536D" w:rsidP="00E609D9">
      <w:pPr>
        <w:spacing w:after="360"/>
        <w:ind w:left="1134"/>
        <w:jc w:val="both"/>
        <w:rPr>
          <w:rFonts w:ascii="Arial" w:hAnsi="Arial" w:cs="Arial"/>
        </w:rPr>
      </w:pPr>
    </w:p>
    <w:p w:rsidR="00222CDB" w:rsidRDefault="00222CDB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Pr="00222CDB">
        <w:rPr>
          <w:rFonts w:ascii="Arial" w:hAnsi="Arial" w:cs="Arial"/>
          <w:sz w:val="24"/>
          <w:szCs w:val="24"/>
        </w:rPr>
        <w:t xml:space="preserve">Alternativamente, </w:t>
      </w:r>
      <w:r>
        <w:rPr>
          <w:rFonts w:ascii="Arial" w:hAnsi="Arial" w:cs="Arial"/>
          <w:sz w:val="24"/>
          <w:szCs w:val="24"/>
        </w:rPr>
        <w:t>fundamentei o</w:t>
      </w:r>
      <w:r w:rsidRPr="00222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referido </w:t>
      </w:r>
      <w:r w:rsidRPr="00222CDB">
        <w:rPr>
          <w:rFonts w:ascii="Arial" w:hAnsi="Arial" w:cs="Arial"/>
          <w:sz w:val="24"/>
          <w:szCs w:val="24"/>
        </w:rPr>
        <w:t>pedido de Porte de Arma de Fogo com base no previsto pelo artigo 6º, inciso IX da Lei Nº 10.826/03 em conjunto com o Artigo 26, § 8º do Decreto Nº 9.785/19, onde determina que “será concedido porte de arma de fogo aos integrantes das entidades de desporto legalmente constituídas cujas atividades esportivas demandem o uso de armas de fogo...” (At</w:t>
      </w:r>
      <w:r>
        <w:rPr>
          <w:rFonts w:ascii="Arial" w:hAnsi="Arial" w:cs="Arial"/>
          <w:sz w:val="24"/>
          <w:szCs w:val="24"/>
        </w:rPr>
        <w:t>irador registrado no Exército)</w:t>
      </w:r>
      <w:r w:rsidR="00F914C5">
        <w:rPr>
          <w:rFonts w:ascii="Arial" w:hAnsi="Arial" w:cs="Arial"/>
          <w:sz w:val="24"/>
          <w:szCs w:val="24"/>
        </w:rPr>
        <w:t>, conforme d</w:t>
      </w:r>
      <w:r w:rsidR="001D35D7">
        <w:rPr>
          <w:rFonts w:ascii="Arial" w:hAnsi="Arial" w:cs="Arial"/>
          <w:sz w:val="24"/>
          <w:szCs w:val="24"/>
        </w:rPr>
        <w:t>i</w:t>
      </w:r>
      <w:r w:rsidR="00F914C5">
        <w:rPr>
          <w:rFonts w:ascii="Arial" w:hAnsi="Arial" w:cs="Arial"/>
          <w:sz w:val="24"/>
          <w:szCs w:val="24"/>
        </w:rPr>
        <w:t>sposto a seguir:</w:t>
      </w:r>
    </w:p>
    <w:p w:rsidR="00C33541" w:rsidRPr="00222CDB" w:rsidRDefault="00222CDB" w:rsidP="00E609D9">
      <w:pPr>
        <w:spacing w:after="3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33541" w:rsidRPr="00222CDB">
        <w:rPr>
          <w:rFonts w:ascii="Arial" w:hAnsi="Arial" w:cs="Arial"/>
        </w:rPr>
        <w:t>Art. 6</w:t>
      </w:r>
      <w:r>
        <w:rPr>
          <w:rFonts w:ascii="Arial" w:hAnsi="Arial" w:cs="Arial"/>
        </w:rPr>
        <w:t>º</w:t>
      </w:r>
      <w:r w:rsidR="00C33541" w:rsidRPr="00222CDB">
        <w:rPr>
          <w:rFonts w:ascii="Arial" w:hAnsi="Arial" w:cs="Arial"/>
        </w:rPr>
        <w:t xml:space="preserve"> É proibido o porte de arma de fogo em todo o território nacional, salvo para os casos previstos em legislação própria e para:</w:t>
      </w:r>
    </w:p>
    <w:p w:rsidR="00C33541" w:rsidRDefault="00C33541" w:rsidP="00E609D9">
      <w:pPr>
        <w:spacing w:after="360"/>
        <w:ind w:left="1134"/>
        <w:jc w:val="both"/>
        <w:rPr>
          <w:rFonts w:ascii="Arial" w:hAnsi="Arial" w:cs="Arial"/>
        </w:rPr>
      </w:pPr>
      <w:r w:rsidRPr="00222CDB">
        <w:rPr>
          <w:rFonts w:ascii="Arial" w:hAnsi="Arial" w:cs="Arial"/>
        </w:rPr>
        <w:t xml:space="preserve">IX – </w:t>
      </w:r>
      <w:proofErr w:type="gramStart"/>
      <w:r w:rsidRPr="00222CDB">
        <w:rPr>
          <w:rFonts w:ascii="Arial" w:hAnsi="Arial" w:cs="Arial"/>
        </w:rPr>
        <w:t>para</w:t>
      </w:r>
      <w:proofErr w:type="gramEnd"/>
      <w:r w:rsidRPr="00222CDB">
        <w:rPr>
          <w:rFonts w:ascii="Arial" w:hAnsi="Arial" w:cs="Arial"/>
        </w:rPr>
        <w:t xml:space="preserve"> os integrantes das entidades de desporto legalmente constituídas, cujas atividades esportivas demandem o uso de armas de fogo, na forma do regulamento desta Lei, observando-se, no que couber, a legislação ambiental.</w:t>
      </w:r>
      <w:r w:rsidR="00222CDB">
        <w:rPr>
          <w:rFonts w:ascii="Arial" w:hAnsi="Arial" w:cs="Arial"/>
        </w:rPr>
        <w:t xml:space="preserve">”. </w:t>
      </w:r>
      <w:r w:rsidR="00222CDB" w:rsidRPr="00222CDB">
        <w:rPr>
          <w:rFonts w:ascii="Arial" w:hAnsi="Arial" w:cs="Arial"/>
          <w:i/>
        </w:rPr>
        <w:t>LEI Nº 10.826, DE 22 DE DEZEMBRO DE 2003</w:t>
      </w:r>
      <w:r w:rsidR="00222CDB" w:rsidRPr="00222CDB">
        <w:rPr>
          <w:rFonts w:ascii="Arial" w:hAnsi="Arial" w:cs="Arial"/>
        </w:rPr>
        <w:t>.</w:t>
      </w:r>
    </w:p>
    <w:p w:rsidR="0088682A" w:rsidRPr="0088682A" w:rsidRDefault="0088682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88682A">
        <w:rPr>
          <w:rFonts w:ascii="Arial" w:hAnsi="Arial" w:cs="Arial"/>
          <w:sz w:val="24"/>
          <w:szCs w:val="24"/>
        </w:rPr>
        <w:t>Em conjunto com:</w:t>
      </w:r>
    </w:p>
    <w:p w:rsidR="00222CDB" w:rsidRPr="00222CDB" w:rsidRDefault="00222CDB" w:rsidP="00E609D9">
      <w:pPr>
        <w:spacing w:after="3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222CDB">
        <w:rPr>
          <w:rFonts w:ascii="Arial" w:hAnsi="Arial" w:cs="Arial"/>
        </w:rPr>
        <w:t>Art. 26.  O porte de arma de fogo é garantido aos militares e aos integrantes das instituições policiais, das esferas federal, estadual e distrital, e aos policiais da Câmara dos Deputados e do Senado Federal em razão do desempenho de suas funções institucionais.</w:t>
      </w:r>
    </w:p>
    <w:p w:rsidR="00222CDB" w:rsidRPr="00222CDB" w:rsidRDefault="00222CDB" w:rsidP="00E609D9">
      <w:pPr>
        <w:spacing w:after="360"/>
        <w:ind w:left="1134"/>
        <w:jc w:val="both"/>
        <w:rPr>
          <w:rFonts w:ascii="Arial" w:hAnsi="Arial" w:cs="Arial"/>
          <w:i/>
        </w:rPr>
      </w:pPr>
      <w:r w:rsidRPr="00222CDB">
        <w:rPr>
          <w:rFonts w:ascii="Arial" w:hAnsi="Arial" w:cs="Arial"/>
        </w:rPr>
        <w:t>§ 8</w:t>
      </w:r>
      <w:proofErr w:type="gramStart"/>
      <w:r w:rsidRPr="00222CDB">
        <w:rPr>
          <w:rFonts w:ascii="Arial" w:hAnsi="Arial" w:cs="Arial"/>
        </w:rPr>
        <w:t>º  Será</w:t>
      </w:r>
      <w:proofErr w:type="gramEnd"/>
      <w:r w:rsidRPr="00222CDB">
        <w:rPr>
          <w:rFonts w:ascii="Arial" w:hAnsi="Arial" w:cs="Arial"/>
        </w:rPr>
        <w:t xml:space="preserve"> concedido porte de arma de fogo aos integrantes das entidades de desporto legalmente constituídas cujas atividades esportivas demandem o uso de armas de fogo, nos termos do disposto no inciso IX do caput do art. 6º da Lei nº 10.826, de 2003.</w:t>
      </w:r>
      <w:r>
        <w:rPr>
          <w:rFonts w:ascii="Arial" w:hAnsi="Arial" w:cs="Arial"/>
        </w:rPr>
        <w:t xml:space="preserve">”. </w:t>
      </w:r>
      <w:r w:rsidRPr="00222CDB">
        <w:rPr>
          <w:rFonts w:ascii="Arial" w:hAnsi="Arial" w:cs="Arial"/>
          <w:i/>
        </w:rPr>
        <w:t>DECRETO Nº 9.785, DE 7 DE MAIO DE 2019</w:t>
      </w:r>
      <w:r>
        <w:rPr>
          <w:rFonts w:ascii="Arial" w:hAnsi="Arial" w:cs="Arial"/>
          <w:i/>
        </w:rPr>
        <w:t>.</w:t>
      </w:r>
    </w:p>
    <w:p w:rsidR="00256885" w:rsidRDefault="00256885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data de 09/07/2019 tive notícias de que meu </w:t>
      </w:r>
      <w:r w:rsidRPr="00256885">
        <w:rPr>
          <w:rFonts w:ascii="Arial" w:hAnsi="Arial" w:cs="Arial"/>
          <w:sz w:val="24"/>
          <w:szCs w:val="24"/>
        </w:rPr>
        <w:t>Requerimento de Porte de Arma de Fogo</w:t>
      </w:r>
      <w:r>
        <w:rPr>
          <w:rFonts w:ascii="Arial" w:hAnsi="Arial" w:cs="Arial"/>
          <w:sz w:val="24"/>
          <w:szCs w:val="24"/>
        </w:rPr>
        <w:t xml:space="preserve"> havia sido indeferido sob a justificativa </w:t>
      </w:r>
      <w:r w:rsidRPr="00256885">
        <w:rPr>
          <w:rFonts w:ascii="Arial" w:hAnsi="Arial" w:cs="Arial"/>
          <w:sz w:val="24"/>
          <w:szCs w:val="24"/>
        </w:rPr>
        <w:t>não ter sido demonstrad</w:t>
      </w:r>
      <w:r>
        <w:rPr>
          <w:rFonts w:ascii="Arial" w:hAnsi="Arial" w:cs="Arial"/>
          <w:sz w:val="24"/>
          <w:szCs w:val="24"/>
        </w:rPr>
        <w:t>o</w:t>
      </w:r>
      <w:r w:rsidRPr="00256885">
        <w:rPr>
          <w:rFonts w:ascii="Arial" w:hAnsi="Arial" w:cs="Arial"/>
          <w:sz w:val="24"/>
          <w:szCs w:val="24"/>
        </w:rPr>
        <w:t xml:space="preserve"> a efetiva necessidade, nos termos previstos no artigo 10, §1º, inciso I, da Lei </w:t>
      </w:r>
      <w:r w:rsidR="00F13DC8">
        <w:rPr>
          <w:rFonts w:ascii="Arial" w:hAnsi="Arial" w:cs="Arial"/>
          <w:sz w:val="24"/>
          <w:szCs w:val="24"/>
        </w:rPr>
        <w:t>N</w:t>
      </w:r>
      <w:r w:rsidRPr="00256885">
        <w:rPr>
          <w:rFonts w:ascii="Arial" w:hAnsi="Arial" w:cs="Arial"/>
          <w:sz w:val="24"/>
          <w:szCs w:val="24"/>
        </w:rPr>
        <w:t>º 10.826/2003</w:t>
      </w:r>
      <w:r w:rsidR="003F1C3A" w:rsidRPr="007B6CD9">
        <w:rPr>
          <w:rFonts w:ascii="Arial" w:hAnsi="Arial" w:cs="Arial"/>
          <w:sz w:val="24"/>
          <w:szCs w:val="24"/>
        </w:rPr>
        <w:t>, visto que o Decreto Nº 9.785/19 havia sido revogado</w:t>
      </w:r>
      <w:r w:rsidRPr="007B6CD9">
        <w:rPr>
          <w:rFonts w:ascii="Arial" w:hAnsi="Arial" w:cs="Arial"/>
          <w:sz w:val="24"/>
          <w:szCs w:val="24"/>
        </w:rPr>
        <w:t>.</w:t>
      </w:r>
    </w:p>
    <w:p w:rsidR="003F1C3A" w:rsidRDefault="003F1C3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3F1C3A" w:rsidRPr="006C4D92" w:rsidRDefault="003F1C3A" w:rsidP="00E609D9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4D92">
        <w:rPr>
          <w:rFonts w:ascii="Arial" w:hAnsi="Arial" w:cs="Arial"/>
          <w:b/>
          <w:sz w:val="24"/>
          <w:szCs w:val="24"/>
          <w:u w:val="single"/>
        </w:rPr>
        <w:t xml:space="preserve">III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6C4D9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DAS JUSTIFICATIVAS</w:t>
      </w:r>
    </w:p>
    <w:p w:rsidR="003F1C3A" w:rsidRDefault="003F1C3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3F1C3A" w:rsidRDefault="003F1C3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3F1C3A">
        <w:rPr>
          <w:rFonts w:ascii="Arial" w:hAnsi="Arial" w:cs="Arial"/>
          <w:sz w:val="24"/>
          <w:szCs w:val="24"/>
        </w:rPr>
        <w:t>Como explanado</w:t>
      </w:r>
      <w:r>
        <w:rPr>
          <w:rFonts w:ascii="Arial" w:hAnsi="Arial" w:cs="Arial"/>
          <w:sz w:val="24"/>
          <w:szCs w:val="24"/>
        </w:rPr>
        <w:t xml:space="preserve"> acima</w:t>
      </w:r>
      <w:r w:rsidRPr="003F1C3A">
        <w:rPr>
          <w:rFonts w:ascii="Arial" w:hAnsi="Arial" w:cs="Arial"/>
          <w:sz w:val="24"/>
          <w:szCs w:val="24"/>
        </w:rPr>
        <w:t>, em 15/05/2019 protocolizei Requerimento de Porte de Arma de Fogo fundamentado não somente em uma, mas em duas previsões legais e vigentes no momento. Na época, todos os critérios objetivos foram</w:t>
      </w:r>
      <w:r w:rsidR="00C90DF0">
        <w:rPr>
          <w:rFonts w:ascii="Arial" w:hAnsi="Arial" w:cs="Arial"/>
          <w:sz w:val="24"/>
          <w:szCs w:val="24"/>
        </w:rPr>
        <w:t xml:space="preserve"> perfeitamente</w:t>
      </w:r>
      <w:r w:rsidRPr="003F1C3A">
        <w:rPr>
          <w:rFonts w:ascii="Arial" w:hAnsi="Arial" w:cs="Arial"/>
          <w:sz w:val="24"/>
          <w:szCs w:val="24"/>
        </w:rPr>
        <w:t xml:space="preserve"> atendidos.</w:t>
      </w:r>
    </w:p>
    <w:p w:rsidR="003F1C3A" w:rsidRDefault="003F1C3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Vale deixar claro </w:t>
      </w:r>
      <w:r w:rsidRPr="003F1C3A">
        <w:rPr>
          <w:rFonts w:ascii="Arial" w:hAnsi="Arial" w:cs="Arial"/>
          <w:sz w:val="24"/>
          <w:szCs w:val="24"/>
        </w:rPr>
        <w:t>que na data do protocolo não era necessário juntar provas adicionais do exercício de atividade profissional de risco ou da existência de ameaça à integridade física, bastando apenas a apresentação do CR para comprovação da condiç</w:t>
      </w:r>
      <w:r w:rsidR="00C90DF0">
        <w:rPr>
          <w:rFonts w:ascii="Arial" w:hAnsi="Arial" w:cs="Arial"/>
          <w:sz w:val="24"/>
          <w:szCs w:val="24"/>
        </w:rPr>
        <w:t>ão</w:t>
      </w:r>
      <w:r w:rsidRPr="003F1C3A">
        <w:rPr>
          <w:rFonts w:ascii="Arial" w:hAnsi="Arial" w:cs="Arial"/>
          <w:sz w:val="24"/>
          <w:szCs w:val="24"/>
        </w:rPr>
        <w:t xml:space="preserve"> de Caçador e/ou Atirador Esportivo.</w:t>
      </w:r>
    </w:p>
    <w:p w:rsidR="005B7536" w:rsidRPr="00902446" w:rsidRDefault="005B7536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C4219F" w:rsidRPr="006C4D92" w:rsidRDefault="00C4219F" w:rsidP="00E609D9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4D92">
        <w:rPr>
          <w:rFonts w:ascii="Arial" w:hAnsi="Arial" w:cs="Arial"/>
          <w:b/>
          <w:sz w:val="24"/>
          <w:szCs w:val="24"/>
          <w:u w:val="single"/>
        </w:rPr>
        <w:t>I</w:t>
      </w:r>
      <w:r w:rsidR="003F1C3A">
        <w:rPr>
          <w:rFonts w:ascii="Arial" w:hAnsi="Arial" w:cs="Arial"/>
          <w:b/>
          <w:sz w:val="24"/>
          <w:szCs w:val="24"/>
          <w:u w:val="single"/>
        </w:rPr>
        <w:t>V</w:t>
      </w:r>
      <w:r w:rsidRPr="006C4D92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C4219F">
        <w:rPr>
          <w:rFonts w:ascii="Arial" w:hAnsi="Arial" w:cs="Arial"/>
          <w:b/>
          <w:sz w:val="24"/>
          <w:szCs w:val="24"/>
          <w:u w:val="single"/>
        </w:rPr>
        <w:t>DO CORRETO REGRAMENTO APLICÁVEL AO ATO</w:t>
      </w:r>
    </w:p>
    <w:p w:rsidR="00A239F0" w:rsidRDefault="00A239F0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2B6148" w:rsidRDefault="00E4344A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13DC8">
        <w:rPr>
          <w:rFonts w:ascii="Arial" w:hAnsi="Arial" w:cs="Arial"/>
          <w:sz w:val="24"/>
          <w:szCs w:val="24"/>
        </w:rPr>
        <w:t>o momento do protocolo</w:t>
      </w:r>
      <w:r>
        <w:rPr>
          <w:rFonts w:ascii="Arial" w:hAnsi="Arial" w:cs="Arial"/>
          <w:sz w:val="24"/>
          <w:szCs w:val="24"/>
        </w:rPr>
        <w:t xml:space="preserve"> (</w:t>
      </w:r>
      <w:r w:rsidRPr="003F1C3A">
        <w:rPr>
          <w:rFonts w:ascii="Arial" w:hAnsi="Arial" w:cs="Arial"/>
          <w:sz w:val="24"/>
          <w:szCs w:val="24"/>
        </w:rPr>
        <w:t>15/05/2019</w:t>
      </w:r>
      <w:r>
        <w:rPr>
          <w:rFonts w:ascii="Arial" w:hAnsi="Arial" w:cs="Arial"/>
          <w:sz w:val="24"/>
          <w:szCs w:val="24"/>
        </w:rPr>
        <w:t>)</w:t>
      </w:r>
      <w:r w:rsidR="00F13DC8">
        <w:rPr>
          <w:rFonts w:ascii="Arial" w:hAnsi="Arial" w:cs="Arial"/>
          <w:sz w:val="24"/>
          <w:szCs w:val="24"/>
        </w:rPr>
        <w:t xml:space="preserve">, a </w:t>
      </w:r>
      <w:r w:rsidR="00F13DC8" w:rsidRPr="00F13DC8">
        <w:rPr>
          <w:rFonts w:ascii="Arial" w:hAnsi="Arial" w:cs="Arial"/>
          <w:sz w:val="24"/>
          <w:szCs w:val="24"/>
        </w:rPr>
        <w:t>Lei Nº 10.826/03</w:t>
      </w:r>
      <w:r w:rsidR="00F13DC8">
        <w:rPr>
          <w:rFonts w:ascii="Arial" w:hAnsi="Arial" w:cs="Arial"/>
          <w:sz w:val="24"/>
          <w:szCs w:val="24"/>
        </w:rPr>
        <w:t xml:space="preserve"> regulamentada pelo </w:t>
      </w:r>
      <w:r w:rsidR="00F13DC8" w:rsidRPr="00F13DC8">
        <w:rPr>
          <w:rFonts w:ascii="Arial" w:hAnsi="Arial" w:cs="Arial"/>
          <w:sz w:val="24"/>
          <w:szCs w:val="24"/>
        </w:rPr>
        <w:t>Decreto Nº 9.785/19</w:t>
      </w:r>
      <w:r w:rsidR="00F13DC8">
        <w:rPr>
          <w:rFonts w:ascii="Arial" w:hAnsi="Arial" w:cs="Arial"/>
          <w:sz w:val="24"/>
          <w:szCs w:val="24"/>
        </w:rPr>
        <w:t xml:space="preserve">, especialmente em seu </w:t>
      </w:r>
      <w:r w:rsidR="00F13DC8" w:rsidRPr="00F13DC8">
        <w:rPr>
          <w:rFonts w:ascii="Arial" w:hAnsi="Arial" w:cs="Arial"/>
          <w:sz w:val="24"/>
          <w:szCs w:val="24"/>
        </w:rPr>
        <w:t>Artigo 26, § 8º</w:t>
      </w:r>
      <w:r w:rsidR="00F13DC8">
        <w:rPr>
          <w:rFonts w:ascii="Arial" w:hAnsi="Arial" w:cs="Arial"/>
          <w:sz w:val="24"/>
          <w:szCs w:val="24"/>
        </w:rPr>
        <w:t xml:space="preserve">, formava um conjunto de normas com critérios objetivos </w:t>
      </w:r>
      <w:r w:rsidR="00904994">
        <w:rPr>
          <w:rFonts w:ascii="Arial" w:hAnsi="Arial" w:cs="Arial"/>
          <w:sz w:val="24"/>
          <w:szCs w:val="24"/>
        </w:rPr>
        <w:t>para a</w:t>
      </w:r>
      <w:r w:rsidR="00F13DC8">
        <w:rPr>
          <w:rFonts w:ascii="Arial" w:hAnsi="Arial" w:cs="Arial"/>
          <w:sz w:val="24"/>
          <w:szCs w:val="24"/>
        </w:rPr>
        <w:t xml:space="preserve"> concessão do Porte de Arma de Fogo, portanto configurando direito material,</w:t>
      </w:r>
      <w:r w:rsidR="005D3773">
        <w:rPr>
          <w:rFonts w:ascii="Arial" w:hAnsi="Arial" w:cs="Arial"/>
          <w:sz w:val="24"/>
          <w:szCs w:val="24"/>
        </w:rPr>
        <w:t xml:space="preserve"> e</w:t>
      </w:r>
      <w:r w:rsidR="00F13DC8">
        <w:rPr>
          <w:rFonts w:ascii="Arial" w:hAnsi="Arial" w:cs="Arial"/>
          <w:sz w:val="24"/>
          <w:szCs w:val="24"/>
        </w:rPr>
        <w:t xml:space="preserve"> cabendo apenas a posterior formalização deste direito pela</w:t>
      </w:r>
      <w:r w:rsidR="00F13DC8" w:rsidRPr="00F13DC8">
        <w:rPr>
          <w:rFonts w:ascii="Arial" w:hAnsi="Arial" w:cs="Arial"/>
          <w:sz w:val="24"/>
          <w:szCs w:val="24"/>
        </w:rPr>
        <w:t xml:space="preserve"> autoridade competente</w:t>
      </w:r>
      <w:r w:rsidR="00F13DC8">
        <w:rPr>
          <w:rFonts w:ascii="Arial" w:hAnsi="Arial" w:cs="Arial"/>
          <w:sz w:val="24"/>
          <w:szCs w:val="24"/>
        </w:rPr>
        <w:t>.</w:t>
      </w:r>
    </w:p>
    <w:p w:rsidR="00B21588" w:rsidRPr="00B21588" w:rsidRDefault="002139A9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 modo, a</w:t>
      </w:r>
      <w:r w:rsidR="00B21588" w:rsidRPr="00B21588">
        <w:rPr>
          <w:rFonts w:ascii="Arial" w:hAnsi="Arial" w:cs="Arial"/>
          <w:sz w:val="24"/>
          <w:szCs w:val="24"/>
        </w:rPr>
        <w:t xml:space="preserve"> interpretação de que o pedido deva ser indeferido por conta da revogação do decreto não deve prevalecer, </w:t>
      </w:r>
      <w:r>
        <w:rPr>
          <w:rFonts w:ascii="Arial" w:hAnsi="Arial" w:cs="Arial"/>
          <w:sz w:val="24"/>
          <w:szCs w:val="24"/>
        </w:rPr>
        <w:t xml:space="preserve">visto que neste caso, o </w:t>
      </w:r>
      <w:r w:rsidR="007A00A2" w:rsidRPr="007A00A2">
        <w:rPr>
          <w:rFonts w:ascii="Arial" w:hAnsi="Arial" w:cs="Arial"/>
          <w:b/>
          <w:sz w:val="24"/>
          <w:szCs w:val="24"/>
          <w:u w:val="single"/>
        </w:rPr>
        <w:t>P</w:t>
      </w:r>
      <w:r w:rsidR="00B21588" w:rsidRPr="007A00A2">
        <w:rPr>
          <w:rFonts w:ascii="Arial" w:hAnsi="Arial" w:cs="Arial"/>
          <w:b/>
          <w:sz w:val="24"/>
          <w:szCs w:val="24"/>
          <w:u w:val="single"/>
        </w:rPr>
        <w:t xml:space="preserve">orte </w:t>
      </w:r>
      <w:r w:rsidR="007A00A2" w:rsidRPr="007A00A2">
        <w:rPr>
          <w:rFonts w:ascii="Arial" w:hAnsi="Arial" w:cs="Arial"/>
          <w:b/>
          <w:sz w:val="24"/>
          <w:szCs w:val="24"/>
          <w:u w:val="single"/>
        </w:rPr>
        <w:t xml:space="preserve">de Armas </w:t>
      </w:r>
      <w:r w:rsidR="00B21588" w:rsidRPr="007A00A2">
        <w:rPr>
          <w:rFonts w:ascii="Arial" w:hAnsi="Arial" w:cs="Arial"/>
          <w:b/>
          <w:sz w:val="24"/>
          <w:szCs w:val="24"/>
          <w:u w:val="single"/>
        </w:rPr>
        <w:t>é tido como um direito material</w:t>
      </w:r>
      <w:r w:rsidR="00B21588" w:rsidRPr="00B21588">
        <w:rPr>
          <w:rFonts w:ascii="Arial" w:hAnsi="Arial" w:cs="Arial"/>
          <w:sz w:val="24"/>
          <w:szCs w:val="24"/>
        </w:rPr>
        <w:t xml:space="preserve">. Tratando-se de um direito material, </w:t>
      </w:r>
      <w:r w:rsidR="00B21588" w:rsidRPr="007A00A2">
        <w:rPr>
          <w:rFonts w:ascii="Arial" w:hAnsi="Arial" w:cs="Arial"/>
          <w:b/>
          <w:sz w:val="24"/>
          <w:szCs w:val="24"/>
          <w:u w:val="single"/>
        </w:rPr>
        <w:t>o pedido deve ser analisado com base na regra legal vigente no momento do protocolo</w:t>
      </w:r>
      <w:r w:rsidR="00B21588" w:rsidRPr="00B21588">
        <w:rPr>
          <w:rFonts w:ascii="Arial" w:hAnsi="Arial" w:cs="Arial"/>
          <w:sz w:val="24"/>
          <w:szCs w:val="24"/>
        </w:rPr>
        <w:t xml:space="preserve"> da solicitação de Porte de Arma de Fogo e não da data da decisão da autoridade competente</w:t>
      </w:r>
      <w:r>
        <w:rPr>
          <w:rFonts w:ascii="Arial" w:hAnsi="Arial" w:cs="Arial"/>
          <w:sz w:val="24"/>
          <w:szCs w:val="24"/>
        </w:rPr>
        <w:t>, conforme</w:t>
      </w:r>
      <w:r w:rsidR="00E40F56" w:rsidRPr="00E40F56">
        <w:t xml:space="preserve"> </w:t>
      </w:r>
      <w:r w:rsidR="00E40F56" w:rsidRPr="00E40F56">
        <w:rPr>
          <w:rFonts w:ascii="Arial" w:hAnsi="Arial" w:cs="Arial"/>
          <w:sz w:val="24"/>
          <w:szCs w:val="24"/>
        </w:rPr>
        <w:t>explana</w:t>
      </w:r>
      <w:r w:rsidR="00E40F56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a seguir.</w:t>
      </w:r>
    </w:p>
    <w:p w:rsidR="00B21588" w:rsidRPr="00B21588" w:rsidRDefault="00B21588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B21588">
        <w:rPr>
          <w:rFonts w:ascii="Arial" w:hAnsi="Arial" w:cs="Arial"/>
          <w:sz w:val="24"/>
          <w:szCs w:val="24"/>
        </w:rPr>
        <w:t xml:space="preserve">O novo </w:t>
      </w:r>
      <w:r w:rsidR="001756E5">
        <w:rPr>
          <w:rFonts w:ascii="Arial" w:hAnsi="Arial" w:cs="Arial"/>
          <w:sz w:val="24"/>
          <w:szCs w:val="24"/>
        </w:rPr>
        <w:t>C</w:t>
      </w:r>
      <w:r w:rsidRPr="00B21588">
        <w:rPr>
          <w:rFonts w:ascii="Arial" w:hAnsi="Arial" w:cs="Arial"/>
          <w:sz w:val="24"/>
          <w:szCs w:val="24"/>
        </w:rPr>
        <w:t xml:space="preserve">ódigo de </w:t>
      </w:r>
      <w:r w:rsidR="001756E5">
        <w:rPr>
          <w:rFonts w:ascii="Arial" w:hAnsi="Arial" w:cs="Arial"/>
          <w:sz w:val="24"/>
          <w:szCs w:val="24"/>
        </w:rPr>
        <w:t>P</w:t>
      </w:r>
      <w:r w:rsidRPr="00B21588">
        <w:rPr>
          <w:rFonts w:ascii="Arial" w:hAnsi="Arial" w:cs="Arial"/>
          <w:sz w:val="24"/>
          <w:szCs w:val="24"/>
        </w:rPr>
        <w:t xml:space="preserve">rocesso </w:t>
      </w:r>
      <w:r w:rsidR="001756E5">
        <w:rPr>
          <w:rFonts w:ascii="Arial" w:hAnsi="Arial" w:cs="Arial"/>
          <w:sz w:val="24"/>
          <w:szCs w:val="24"/>
        </w:rPr>
        <w:t>C</w:t>
      </w:r>
      <w:r w:rsidRPr="00B21588">
        <w:rPr>
          <w:rFonts w:ascii="Arial" w:hAnsi="Arial" w:cs="Arial"/>
          <w:sz w:val="24"/>
          <w:szCs w:val="24"/>
        </w:rPr>
        <w:t>ivil</w:t>
      </w:r>
      <w:r w:rsidR="001756E5">
        <w:rPr>
          <w:rFonts w:ascii="Arial" w:hAnsi="Arial" w:cs="Arial"/>
          <w:sz w:val="24"/>
          <w:szCs w:val="24"/>
        </w:rPr>
        <w:t>,</w:t>
      </w:r>
      <w:r w:rsidRPr="00B21588">
        <w:rPr>
          <w:rFonts w:ascii="Arial" w:hAnsi="Arial" w:cs="Arial"/>
          <w:sz w:val="24"/>
          <w:szCs w:val="24"/>
        </w:rPr>
        <w:t xml:space="preserve"> </w:t>
      </w:r>
      <w:r w:rsidR="001756E5" w:rsidRPr="001756E5">
        <w:rPr>
          <w:rFonts w:ascii="Arial" w:hAnsi="Arial" w:cs="Arial"/>
          <w:sz w:val="24"/>
          <w:szCs w:val="24"/>
        </w:rPr>
        <w:t xml:space="preserve">instituído pela Lei </w:t>
      </w:r>
      <w:r w:rsidR="001756E5">
        <w:rPr>
          <w:rFonts w:ascii="Arial" w:hAnsi="Arial" w:cs="Arial"/>
          <w:sz w:val="24"/>
          <w:szCs w:val="24"/>
        </w:rPr>
        <w:t>N</w:t>
      </w:r>
      <w:r w:rsidR="001756E5" w:rsidRPr="001756E5">
        <w:rPr>
          <w:rFonts w:ascii="Arial" w:hAnsi="Arial" w:cs="Arial"/>
          <w:sz w:val="24"/>
          <w:szCs w:val="24"/>
        </w:rPr>
        <w:t>º 13.105 de 2015</w:t>
      </w:r>
      <w:r w:rsidR="001756E5">
        <w:rPr>
          <w:rFonts w:ascii="Arial" w:hAnsi="Arial" w:cs="Arial"/>
          <w:sz w:val="24"/>
          <w:szCs w:val="24"/>
        </w:rPr>
        <w:t xml:space="preserve">, </w:t>
      </w:r>
      <w:r w:rsidRPr="00B21588">
        <w:rPr>
          <w:rFonts w:ascii="Arial" w:hAnsi="Arial" w:cs="Arial"/>
          <w:sz w:val="24"/>
          <w:szCs w:val="24"/>
        </w:rPr>
        <w:t xml:space="preserve">estabelece que os processos administrativos que não possuem normas regulatórias especificas, devem ter aplicadas as normas constantes </w:t>
      </w:r>
      <w:r w:rsidR="007A00A2">
        <w:rPr>
          <w:rFonts w:ascii="Arial" w:hAnsi="Arial" w:cs="Arial"/>
          <w:sz w:val="24"/>
          <w:szCs w:val="24"/>
        </w:rPr>
        <w:t>no CPC</w:t>
      </w:r>
      <w:r w:rsidRPr="00B21588">
        <w:rPr>
          <w:rFonts w:ascii="Arial" w:hAnsi="Arial" w:cs="Arial"/>
          <w:sz w:val="24"/>
          <w:szCs w:val="24"/>
        </w:rPr>
        <w:t>.</w:t>
      </w:r>
    </w:p>
    <w:p w:rsidR="00B21588" w:rsidRPr="00B21588" w:rsidRDefault="00B21588" w:rsidP="00E609D9">
      <w:pPr>
        <w:spacing w:after="360"/>
        <w:ind w:left="1134"/>
        <w:jc w:val="both"/>
        <w:rPr>
          <w:rFonts w:ascii="Arial" w:hAnsi="Arial" w:cs="Arial"/>
        </w:rPr>
      </w:pPr>
      <w:r w:rsidRPr="00B21588">
        <w:rPr>
          <w:rFonts w:ascii="Arial" w:hAnsi="Arial" w:cs="Arial"/>
        </w:rPr>
        <w:t xml:space="preserve">“Art. 15. Na ausência de normas que regulem processos eleitorais, trabalhistas ou administrativos, </w:t>
      </w:r>
      <w:r w:rsidRPr="00435301">
        <w:rPr>
          <w:rFonts w:ascii="Arial" w:hAnsi="Arial" w:cs="Arial"/>
          <w:u w:val="single"/>
        </w:rPr>
        <w:t>as disposições deste Código lhes serão aplicadas supletiva e subsidiariamente</w:t>
      </w:r>
      <w:r w:rsidRPr="00B21588">
        <w:rPr>
          <w:rFonts w:ascii="Arial" w:hAnsi="Arial" w:cs="Arial"/>
        </w:rPr>
        <w:t>.”</w:t>
      </w:r>
      <w:r>
        <w:rPr>
          <w:rFonts w:ascii="Arial" w:hAnsi="Arial" w:cs="Arial"/>
        </w:rPr>
        <w:t xml:space="preserve">. </w:t>
      </w:r>
      <w:r w:rsidR="00B66EA6" w:rsidRPr="00B66EA6">
        <w:rPr>
          <w:rFonts w:ascii="Arial" w:hAnsi="Arial" w:cs="Arial"/>
          <w:i/>
        </w:rPr>
        <w:t>LEI Nº 13.105, DE 16 DE MARÇO DE 2015.</w:t>
      </w:r>
      <w:r w:rsidR="00435301" w:rsidRPr="00435301">
        <w:rPr>
          <w:rFonts w:ascii="Arial" w:hAnsi="Arial" w:cs="Arial"/>
        </w:rPr>
        <w:t xml:space="preserve"> (</w:t>
      </w:r>
      <w:proofErr w:type="gramStart"/>
      <w:r w:rsidR="00435301" w:rsidRPr="00435301">
        <w:rPr>
          <w:rFonts w:ascii="Arial" w:hAnsi="Arial" w:cs="Arial"/>
        </w:rPr>
        <w:t>grifos</w:t>
      </w:r>
      <w:proofErr w:type="gramEnd"/>
      <w:r w:rsidR="00435301" w:rsidRPr="00435301">
        <w:rPr>
          <w:rFonts w:ascii="Arial" w:hAnsi="Arial" w:cs="Arial"/>
        </w:rPr>
        <w:t xml:space="preserve"> </w:t>
      </w:r>
      <w:r w:rsidR="00186A1E">
        <w:rPr>
          <w:rFonts w:ascii="Arial" w:hAnsi="Arial" w:cs="Arial"/>
        </w:rPr>
        <w:t>meus</w:t>
      </w:r>
      <w:r w:rsidR="00435301" w:rsidRPr="00435301">
        <w:rPr>
          <w:rFonts w:ascii="Arial" w:hAnsi="Arial" w:cs="Arial"/>
        </w:rPr>
        <w:t>).</w:t>
      </w:r>
    </w:p>
    <w:p w:rsidR="00B21588" w:rsidRPr="00B21588" w:rsidRDefault="00B21588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B21588">
        <w:rPr>
          <w:rFonts w:ascii="Arial" w:hAnsi="Arial" w:cs="Arial"/>
          <w:sz w:val="24"/>
          <w:szCs w:val="24"/>
        </w:rPr>
        <w:t xml:space="preserve">Reconhecendo-se que o </w:t>
      </w:r>
      <w:r w:rsidR="007A00A2" w:rsidRPr="00B21588">
        <w:rPr>
          <w:rFonts w:ascii="Arial" w:hAnsi="Arial" w:cs="Arial"/>
          <w:sz w:val="24"/>
          <w:szCs w:val="24"/>
        </w:rPr>
        <w:t xml:space="preserve">novo </w:t>
      </w:r>
      <w:r w:rsidR="007A00A2">
        <w:rPr>
          <w:rFonts w:ascii="Arial" w:hAnsi="Arial" w:cs="Arial"/>
          <w:sz w:val="24"/>
          <w:szCs w:val="24"/>
        </w:rPr>
        <w:t>C</w:t>
      </w:r>
      <w:r w:rsidR="007A00A2" w:rsidRPr="00B21588">
        <w:rPr>
          <w:rFonts w:ascii="Arial" w:hAnsi="Arial" w:cs="Arial"/>
          <w:sz w:val="24"/>
          <w:szCs w:val="24"/>
        </w:rPr>
        <w:t xml:space="preserve">ódigo de </w:t>
      </w:r>
      <w:r w:rsidR="007A00A2">
        <w:rPr>
          <w:rFonts w:ascii="Arial" w:hAnsi="Arial" w:cs="Arial"/>
          <w:sz w:val="24"/>
          <w:szCs w:val="24"/>
        </w:rPr>
        <w:t>P</w:t>
      </w:r>
      <w:r w:rsidR="007A00A2" w:rsidRPr="00B21588">
        <w:rPr>
          <w:rFonts w:ascii="Arial" w:hAnsi="Arial" w:cs="Arial"/>
          <w:sz w:val="24"/>
          <w:szCs w:val="24"/>
        </w:rPr>
        <w:t xml:space="preserve">rocesso </w:t>
      </w:r>
      <w:r w:rsidR="007A00A2">
        <w:rPr>
          <w:rFonts w:ascii="Arial" w:hAnsi="Arial" w:cs="Arial"/>
          <w:sz w:val="24"/>
          <w:szCs w:val="24"/>
        </w:rPr>
        <w:t>C</w:t>
      </w:r>
      <w:r w:rsidR="007A00A2" w:rsidRPr="00B21588">
        <w:rPr>
          <w:rFonts w:ascii="Arial" w:hAnsi="Arial" w:cs="Arial"/>
          <w:sz w:val="24"/>
          <w:szCs w:val="24"/>
        </w:rPr>
        <w:t>ivil</w:t>
      </w:r>
      <w:r w:rsidRPr="00B21588">
        <w:rPr>
          <w:rFonts w:ascii="Arial" w:hAnsi="Arial" w:cs="Arial"/>
          <w:sz w:val="24"/>
          <w:szCs w:val="24"/>
        </w:rPr>
        <w:t xml:space="preserve"> deve ser aplicado a este processo administrativo</w:t>
      </w:r>
      <w:r w:rsidR="00296893">
        <w:rPr>
          <w:rFonts w:ascii="Arial" w:hAnsi="Arial" w:cs="Arial"/>
          <w:sz w:val="24"/>
          <w:szCs w:val="24"/>
        </w:rPr>
        <w:t xml:space="preserve"> de forma subsidiaria</w:t>
      </w:r>
      <w:r w:rsidRPr="00B21588">
        <w:rPr>
          <w:rFonts w:ascii="Arial" w:hAnsi="Arial" w:cs="Arial"/>
          <w:sz w:val="24"/>
          <w:szCs w:val="24"/>
        </w:rPr>
        <w:t>, em seu artigo 14º consta a seguinte determinação:</w:t>
      </w:r>
    </w:p>
    <w:p w:rsidR="00B21588" w:rsidRPr="00B66EA6" w:rsidRDefault="00B21588" w:rsidP="00E609D9">
      <w:pPr>
        <w:spacing w:after="360"/>
        <w:ind w:left="1134"/>
        <w:jc w:val="both"/>
        <w:rPr>
          <w:rFonts w:ascii="Arial" w:hAnsi="Arial" w:cs="Arial"/>
          <w:i/>
        </w:rPr>
      </w:pPr>
      <w:r w:rsidRPr="00B21588">
        <w:rPr>
          <w:rFonts w:ascii="Arial" w:hAnsi="Arial" w:cs="Arial"/>
        </w:rPr>
        <w:t xml:space="preserve">“Art. 14. </w:t>
      </w:r>
      <w:r w:rsidRPr="00435301">
        <w:rPr>
          <w:rFonts w:ascii="Arial" w:hAnsi="Arial" w:cs="Arial"/>
          <w:u w:val="single"/>
        </w:rPr>
        <w:t>A norma processual não retroagirá</w:t>
      </w:r>
      <w:r w:rsidRPr="00B21588">
        <w:rPr>
          <w:rFonts w:ascii="Arial" w:hAnsi="Arial" w:cs="Arial"/>
        </w:rPr>
        <w:t xml:space="preserve"> e será aplicável imediatamente aos processos em curso, respeitados os atos processuais praticados e as situações jurídicas consolidadas sob a vigência da norma revogada.”</w:t>
      </w:r>
      <w:r>
        <w:rPr>
          <w:rFonts w:ascii="Arial" w:hAnsi="Arial" w:cs="Arial"/>
        </w:rPr>
        <w:t>.</w:t>
      </w:r>
      <w:r w:rsidR="00B66EA6">
        <w:rPr>
          <w:rFonts w:ascii="Arial" w:hAnsi="Arial" w:cs="Arial"/>
        </w:rPr>
        <w:t xml:space="preserve"> </w:t>
      </w:r>
      <w:r w:rsidR="00B66EA6" w:rsidRPr="00B66EA6">
        <w:rPr>
          <w:rFonts w:ascii="Arial" w:hAnsi="Arial" w:cs="Arial"/>
          <w:i/>
        </w:rPr>
        <w:t>LEI Nº 13.105, DE 16 DE MARÇO DE 2015.</w:t>
      </w:r>
      <w:r w:rsidR="00435301">
        <w:rPr>
          <w:rFonts w:ascii="Arial" w:hAnsi="Arial" w:cs="Arial"/>
          <w:i/>
        </w:rPr>
        <w:t xml:space="preserve"> </w:t>
      </w:r>
      <w:r w:rsidR="00435301" w:rsidRPr="00435301">
        <w:rPr>
          <w:rFonts w:ascii="Arial" w:hAnsi="Arial" w:cs="Arial"/>
        </w:rPr>
        <w:t>(</w:t>
      </w:r>
      <w:proofErr w:type="gramStart"/>
      <w:r w:rsidR="00435301" w:rsidRPr="00435301">
        <w:rPr>
          <w:rFonts w:ascii="Arial" w:hAnsi="Arial" w:cs="Arial"/>
        </w:rPr>
        <w:t>grifos</w:t>
      </w:r>
      <w:proofErr w:type="gramEnd"/>
      <w:r w:rsidR="00435301" w:rsidRPr="00435301">
        <w:rPr>
          <w:rFonts w:ascii="Arial" w:hAnsi="Arial" w:cs="Arial"/>
        </w:rPr>
        <w:t xml:space="preserve"> </w:t>
      </w:r>
      <w:r w:rsidR="00186A1E">
        <w:rPr>
          <w:rFonts w:ascii="Arial" w:hAnsi="Arial" w:cs="Arial"/>
        </w:rPr>
        <w:t>meus</w:t>
      </w:r>
      <w:r w:rsidR="00435301" w:rsidRPr="00435301">
        <w:rPr>
          <w:rFonts w:ascii="Arial" w:hAnsi="Arial" w:cs="Arial"/>
        </w:rPr>
        <w:t>).</w:t>
      </w:r>
    </w:p>
    <w:p w:rsidR="00A17313" w:rsidRDefault="00B21588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186A1E">
        <w:rPr>
          <w:rFonts w:ascii="Arial" w:hAnsi="Arial" w:cs="Arial"/>
          <w:sz w:val="24"/>
          <w:szCs w:val="24"/>
        </w:rPr>
        <w:t xml:space="preserve">Em razão disto, </w:t>
      </w:r>
      <w:r w:rsidR="00186A1E">
        <w:rPr>
          <w:rFonts w:ascii="Arial" w:hAnsi="Arial" w:cs="Arial"/>
          <w:sz w:val="24"/>
          <w:szCs w:val="24"/>
        </w:rPr>
        <w:t xml:space="preserve">não deve prevalecer </w:t>
      </w:r>
      <w:r w:rsidRPr="00186A1E">
        <w:rPr>
          <w:rFonts w:ascii="Arial" w:hAnsi="Arial" w:cs="Arial"/>
          <w:sz w:val="24"/>
          <w:szCs w:val="24"/>
        </w:rPr>
        <w:t xml:space="preserve">a justificativa trazida para o indeferimento do meu pedido de porte </w:t>
      </w:r>
      <w:r w:rsidR="002226A4" w:rsidRPr="00186A1E">
        <w:rPr>
          <w:rFonts w:ascii="Arial" w:hAnsi="Arial" w:cs="Arial"/>
          <w:sz w:val="24"/>
          <w:szCs w:val="24"/>
        </w:rPr>
        <w:t>de arma de fogo</w:t>
      </w:r>
      <w:r w:rsidRPr="00186A1E">
        <w:rPr>
          <w:rFonts w:ascii="Arial" w:hAnsi="Arial" w:cs="Arial"/>
          <w:sz w:val="24"/>
          <w:szCs w:val="24"/>
        </w:rPr>
        <w:t xml:space="preserve">, visto que na data do protocolo eu </w:t>
      </w:r>
      <w:r w:rsidRPr="00186A1E">
        <w:rPr>
          <w:rFonts w:ascii="Arial" w:hAnsi="Arial" w:cs="Arial"/>
          <w:sz w:val="24"/>
          <w:szCs w:val="24"/>
        </w:rPr>
        <w:lastRenderedPageBreak/>
        <w:t>preenchi todos os requisitos legais e objetivos</w:t>
      </w:r>
      <w:r w:rsidR="00296893" w:rsidRPr="00186A1E">
        <w:rPr>
          <w:rFonts w:ascii="Arial" w:hAnsi="Arial" w:cs="Arial"/>
          <w:sz w:val="24"/>
          <w:szCs w:val="24"/>
        </w:rPr>
        <w:t xml:space="preserve"> e detinha a justa expectativa do direito</w:t>
      </w:r>
      <w:r w:rsidRPr="00186A1E">
        <w:rPr>
          <w:rFonts w:ascii="Arial" w:hAnsi="Arial" w:cs="Arial"/>
          <w:sz w:val="24"/>
          <w:szCs w:val="24"/>
        </w:rPr>
        <w:t xml:space="preserve">, conforme já </w:t>
      </w:r>
      <w:r w:rsidR="007A00A2" w:rsidRPr="00186A1E">
        <w:rPr>
          <w:rFonts w:ascii="Arial" w:hAnsi="Arial" w:cs="Arial"/>
          <w:sz w:val="24"/>
          <w:szCs w:val="24"/>
        </w:rPr>
        <w:t>demonstrado</w:t>
      </w:r>
      <w:r w:rsidRPr="00186A1E">
        <w:rPr>
          <w:rFonts w:ascii="Arial" w:hAnsi="Arial" w:cs="Arial"/>
          <w:sz w:val="24"/>
          <w:szCs w:val="24"/>
        </w:rPr>
        <w:t>.</w:t>
      </w:r>
    </w:p>
    <w:p w:rsidR="00700A96" w:rsidRDefault="00186A1E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reforçar o entendimento de que</w:t>
      </w:r>
      <w:r w:rsidR="0055426A">
        <w:rPr>
          <w:rFonts w:ascii="Arial" w:hAnsi="Arial" w:cs="Arial"/>
          <w:sz w:val="24"/>
          <w:szCs w:val="24"/>
        </w:rPr>
        <w:t xml:space="preserve">, tratando-se de direito material, </w:t>
      </w:r>
      <w:r w:rsidR="005D3773">
        <w:rPr>
          <w:rFonts w:ascii="Arial" w:hAnsi="Arial" w:cs="Arial"/>
          <w:sz w:val="24"/>
          <w:szCs w:val="24"/>
        </w:rPr>
        <w:t xml:space="preserve">o entendimento jurídico é de que </w:t>
      </w:r>
      <w:r w:rsidR="0055426A">
        <w:rPr>
          <w:rFonts w:ascii="Arial" w:hAnsi="Arial" w:cs="Arial"/>
          <w:sz w:val="24"/>
          <w:szCs w:val="24"/>
        </w:rPr>
        <w:t>uma nova norma não deve retroagir e ter efeitos sobre um processo que iniciou na vigência de uma norma legal anterior, vejamos algumas decisões</w:t>
      </w:r>
      <w:r w:rsidR="004E329F">
        <w:rPr>
          <w:rFonts w:ascii="Arial" w:hAnsi="Arial" w:cs="Arial"/>
          <w:sz w:val="24"/>
          <w:szCs w:val="24"/>
        </w:rPr>
        <w:t xml:space="preserve"> comparáveis</w:t>
      </w:r>
      <w:r w:rsidR="00B434BE">
        <w:rPr>
          <w:rFonts w:ascii="Arial" w:hAnsi="Arial" w:cs="Arial"/>
          <w:sz w:val="24"/>
          <w:szCs w:val="24"/>
        </w:rPr>
        <w:t xml:space="preserve"> ao presente caso</w:t>
      </w:r>
      <w:r>
        <w:rPr>
          <w:rFonts w:ascii="Arial" w:hAnsi="Arial" w:cs="Arial"/>
          <w:sz w:val="24"/>
          <w:szCs w:val="24"/>
        </w:rPr>
        <w:t>.</w:t>
      </w:r>
    </w:p>
    <w:p w:rsidR="00186A1E" w:rsidRPr="00186A1E" w:rsidRDefault="00186A1E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186A1E">
        <w:rPr>
          <w:rFonts w:ascii="Arial" w:hAnsi="Arial" w:cs="Arial"/>
          <w:sz w:val="24"/>
          <w:szCs w:val="24"/>
        </w:rPr>
        <w:t>Carolina Orlando de Campos,</w:t>
      </w:r>
      <w:r>
        <w:rPr>
          <w:rFonts w:ascii="Arial" w:hAnsi="Arial" w:cs="Arial"/>
          <w:sz w:val="24"/>
          <w:szCs w:val="24"/>
        </w:rPr>
        <w:t xml:space="preserve"> </w:t>
      </w:r>
      <w:r w:rsidRPr="00186A1E">
        <w:rPr>
          <w:rFonts w:ascii="Arial" w:hAnsi="Arial" w:cs="Arial"/>
          <w:sz w:val="24"/>
          <w:szCs w:val="24"/>
        </w:rPr>
        <w:t xml:space="preserve">Juíza do Trabalho </w:t>
      </w:r>
      <w:r>
        <w:rPr>
          <w:rFonts w:ascii="Arial" w:hAnsi="Arial" w:cs="Arial"/>
          <w:sz w:val="24"/>
          <w:szCs w:val="24"/>
        </w:rPr>
        <w:t>do TRT</w:t>
      </w:r>
      <w:r w:rsidRPr="00186A1E">
        <w:rPr>
          <w:rFonts w:ascii="Arial" w:hAnsi="Arial" w:cs="Arial"/>
          <w:sz w:val="24"/>
          <w:szCs w:val="24"/>
        </w:rPr>
        <w:t xml:space="preserve"> da 2ª Região</w:t>
      </w:r>
      <w:r>
        <w:rPr>
          <w:rFonts w:ascii="Arial" w:hAnsi="Arial" w:cs="Arial"/>
          <w:sz w:val="24"/>
          <w:szCs w:val="24"/>
        </w:rPr>
        <w:t xml:space="preserve"> defende o seguinte:</w:t>
      </w:r>
    </w:p>
    <w:p w:rsidR="00700A96" w:rsidRDefault="00186A1E" w:rsidP="00E609D9">
      <w:pPr>
        <w:spacing w:after="360"/>
        <w:ind w:left="1134"/>
        <w:jc w:val="both"/>
        <w:rPr>
          <w:rFonts w:ascii="Arial" w:hAnsi="Arial" w:cs="Arial"/>
          <w:sz w:val="24"/>
          <w:szCs w:val="24"/>
        </w:rPr>
      </w:pPr>
      <w:r w:rsidRPr="00186A1E">
        <w:rPr>
          <w:rFonts w:ascii="Arial" w:hAnsi="Arial" w:cs="Arial"/>
          <w:szCs w:val="24"/>
        </w:rPr>
        <w:t>“</w:t>
      </w:r>
      <w:r w:rsidR="00215BCA">
        <w:rPr>
          <w:rFonts w:ascii="Arial" w:hAnsi="Arial" w:cs="Arial"/>
          <w:szCs w:val="24"/>
        </w:rPr>
        <w:t>A</w:t>
      </w:r>
      <w:r w:rsidRPr="00186A1E">
        <w:rPr>
          <w:rFonts w:ascii="Arial" w:hAnsi="Arial" w:cs="Arial"/>
          <w:szCs w:val="24"/>
        </w:rPr>
        <w:t>o contrário do que ocorre com as normas de direito material, as leis processuais produzem efeitos imediatos, devendo a nova norma ser aplicada nos processos em andamento e não somente aqueles que se iniciarem a partir da vigência da nova lei”.</w:t>
      </w:r>
    </w:p>
    <w:p w:rsidR="00700A96" w:rsidRPr="00700A96" w:rsidRDefault="00700A96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00A96">
        <w:rPr>
          <w:rFonts w:ascii="Arial" w:hAnsi="Arial" w:cs="Arial"/>
          <w:sz w:val="24"/>
          <w:szCs w:val="24"/>
        </w:rPr>
        <w:t xml:space="preserve">José Geraldo da Fonseca, Desembargador federal do Trabalho no Rio de Janeiro, considera ainda que uma nova norma deve-se aplicar apenas a processos novos, ajuizados após a sua entrada em vigor, não devendo confrontar o direito adquirido. </w:t>
      </w:r>
    </w:p>
    <w:p w:rsidR="00700A96" w:rsidRPr="00700A96" w:rsidRDefault="00700A96" w:rsidP="00E609D9">
      <w:pPr>
        <w:spacing w:after="360"/>
        <w:ind w:left="1134"/>
        <w:jc w:val="both"/>
        <w:rPr>
          <w:rFonts w:ascii="Arial" w:hAnsi="Arial" w:cs="Arial"/>
          <w:szCs w:val="24"/>
        </w:rPr>
      </w:pPr>
      <w:r w:rsidRPr="00700A96">
        <w:rPr>
          <w:rFonts w:ascii="Arial" w:hAnsi="Arial" w:cs="Arial"/>
          <w:szCs w:val="24"/>
        </w:rPr>
        <w:t>“Em regra, portanto, a lei nova aplica-se, apenas, aos processos novos, assim entendidos aqueles ajuizados após a sua entrada em vigor. Mas é possível que uma lei nova alcance processos antigos, ajuizados antes de sua vigência se disser expressamente que o faz e se respeitar o ato jurídico perfeito, o direito adquirido e a coisa julgada.”.</w:t>
      </w:r>
    </w:p>
    <w:p w:rsidR="00700A96" w:rsidRPr="00700A96" w:rsidRDefault="00700A96" w:rsidP="00E609D9">
      <w:pPr>
        <w:spacing w:after="360"/>
        <w:ind w:left="1134"/>
        <w:jc w:val="both"/>
        <w:rPr>
          <w:rFonts w:ascii="Arial" w:hAnsi="Arial" w:cs="Arial"/>
          <w:szCs w:val="24"/>
        </w:rPr>
      </w:pPr>
      <w:r w:rsidRPr="00700A96">
        <w:rPr>
          <w:rFonts w:ascii="Arial" w:hAnsi="Arial" w:cs="Arial"/>
          <w:szCs w:val="24"/>
        </w:rPr>
        <w:t>“...consideram-se adquiridos os direitos que o seu titular, ou alguém por ele, possa exercer, bem assim aqueles cujo começo do exercício tenha termo prefixo ou condição pré-estabelecida inalterável pela vontade de outrem”.</w:t>
      </w:r>
    </w:p>
    <w:p w:rsidR="00700A96" w:rsidRDefault="00700A96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700A96">
        <w:rPr>
          <w:rFonts w:ascii="Arial" w:hAnsi="Arial" w:cs="Arial"/>
          <w:sz w:val="24"/>
          <w:szCs w:val="24"/>
        </w:rPr>
        <w:t>O direito adquirido, portanto, passou a ser o limite da eficácia da lei nova aos fatos ainda em curso.</w:t>
      </w:r>
    </w:p>
    <w:p w:rsidR="00700A96" w:rsidRDefault="00700A96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C45FFD">
        <w:rPr>
          <w:rFonts w:ascii="Arial" w:hAnsi="Arial" w:cs="Arial"/>
          <w:sz w:val="24"/>
          <w:szCs w:val="24"/>
        </w:rPr>
        <w:t>Edson Bueno</w:t>
      </w:r>
      <w:r>
        <w:rPr>
          <w:rFonts w:ascii="Arial" w:hAnsi="Arial" w:cs="Arial"/>
          <w:sz w:val="24"/>
          <w:szCs w:val="24"/>
        </w:rPr>
        <w:t xml:space="preserve">, Desembargador do </w:t>
      </w:r>
      <w:r w:rsidRPr="00C45FFD">
        <w:rPr>
          <w:rFonts w:ascii="Arial" w:hAnsi="Arial" w:cs="Arial"/>
          <w:sz w:val="24"/>
          <w:szCs w:val="24"/>
        </w:rPr>
        <w:t>TRT da 23ª Região</w:t>
      </w:r>
      <w:r>
        <w:rPr>
          <w:rFonts w:ascii="Arial" w:hAnsi="Arial" w:cs="Arial"/>
          <w:sz w:val="24"/>
          <w:szCs w:val="24"/>
        </w:rPr>
        <w:t>,</w:t>
      </w:r>
      <w:r w:rsidRPr="00C45FFD">
        <w:rPr>
          <w:rFonts w:ascii="Arial" w:hAnsi="Arial" w:cs="Arial"/>
          <w:sz w:val="24"/>
          <w:szCs w:val="24"/>
        </w:rPr>
        <w:t xml:space="preserve"> destac</w:t>
      </w:r>
      <w:r>
        <w:rPr>
          <w:rFonts w:ascii="Arial" w:hAnsi="Arial" w:cs="Arial"/>
          <w:sz w:val="24"/>
          <w:szCs w:val="24"/>
        </w:rPr>
        <w:t>a</w:t>
      </w:r>
      <w:r w:rsidRPr="00C45FFD">
        <w:rPr>
          <w:rFonts w:ascii="Arial" w:hAnsi="Arial" w:cs="Arial"/>
          <w:sz w:val="24"/>
          <w:szCs w:val="24"/>
        </w:rPr>
        <w:t xml:space="preserve"> que a decisão não pode causar surpresa às partes e impor algo não</w:t>
      </w:r>
      <w:r>
        <w:rPr>
          <w:rFonts w:ascii="Arial" w:hAnsi="Arial" w:cs="Arial"/>
          <w:sz w:val="24"/>
          <w:szCs w:val="24"/>
        </w:rPr>
        <w:t xml:space="preserve"> existente no início da demanda:</w:t>
      </w:r>
    </w:p>
    <w:p w:rsidR="00700A96" w:rsidRPr="00C45FFD" w:rsidRDefault="00700A96" w:rsidP="00E609D9">
      <w:pPr>
        <w:spacing w:after="360"/>
        <w:ind w:left="1134"/>
        <w:jc w:val="both"/>
        <w:rPr>
          <w:rFonts w:ascii="Arial" w:hAnsi="Arial" w:cs="Arial"/>
        </w:rPr>
      </w:pPr>
      <w:r w:rsidRPr="00C45FFD">
        <w:rPr>
          <w:rFonts w:ascii="Arial" w:hAnsi="Arial" w:cs="Arial"/>
        </w:rPr>
        <w:t xml:space="preserve"> “...ademais, que não é custoso lembrar que o Autor ingressou com a ação segundo as regras do jogo da época, as quais não podem ser modificadas no curso da partida sob pena não apenas de surpreendê-lo mas, mais do que isso, de desrespeitar o princípio básico da proteção da </w:t>
      </w:r>
      <w:proofErr w:type="gramStart"/>
      <w:r w:rsidRPr="00C45FFD">
        <w:rPr>
          <w:rFonts w:ascii="Arial" w:hAnsi="Arial" w:cs="Arial"/>
        </w:rPr>
        <w:t>confiança.”</w:t>
      </w:r>
      <w:proofErr w:type="gramEnd"/>
    </w:p>
    <w:p w:rsidR="00435301" w:rsidRDefault="00435301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E609D9" w:rsidRDefault="00E609D9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435301" w:rsidRPr="00902446" w:rsidRDefault="00435301" w:rsidP="00E609D9">
      <w:pPr>
        <w:spacing w:after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 - </w:t>
      </w:r>
      <w:r w:rsidRPr="00902446">
        <w:rPr>
          <w:rFonts w:ascii="Arial" w:hAnsi="Arial" w:cs="Arial"/>
          <w:b/>
          <w:sz w:val="24"/>
          <w:szCs w:val="24"/>
          <w:u w:val="single"/>
        </w:rPr>
        <w:t>DO PEDIDO</w:t>
      </w:r>
    </w:p>
    <w:p w:rsidR="00435301" w:rsidRDefault="00435301" w:rsidP="00E609D9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B6592F" w:rsidRDefault="005714D3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face do </w:t>
      </w:r>
      <w:r w:rsidRPr="00CF2CF8">
        <w:rPr>
          <w:rFonts w:ascii="Arial" w:hAnsi="Arial" w:cs="Arial"/>
          <w:sz w:val="24"/>
          <w:szCs w:val="24"/>
        </w:rPr>
        <w:t>exposto acima,</w:t>
      </w:r>
      <w:r>
        <w:rPr>
          <w:rFonts w:ascii="Arial" w:hAnsi="Arial" w:cs="Arial"/>
          <w:sz w:val="24"/>
          <w:szCs w:val="24"/>
        </w:rPr>
        <w:t xml:space="preserve"> peço que meu requerimento de porte de arma seja analisado a luz da legislação vigente na data do protocolo (</w:t>
      </w:r>
      <w:r w:rsidR="007A6CA2" w:rsidRPr="003F1C3A">
        <w:rPr>
          <w:rFonts w:ascii="Arial" w:hAnsi="Arial" w:cs="Arial"/>
          <w:sz w:val="24"/>
          <w:szCs w:val="24"/>
        </w:rPr>
        <w:t>15/05/2019</w:t>
      </w:r>
      <w:r>
        <w:rPr>
          <w:rFonts w:ascii="Arial" w:hAnsi="Arial" w:cs="Arial"/>
          <w:sz w:val="24"/>
          <w:szCs w:val="24"/>
        </w:rPr>
        <w:t>)</w:t>
      </w:r>
      <w:r w:rsidR="005211EE">
        <w:rPr>
          <w:rFonts w:ascii="Arial" w:hAnsi="Arial" w:cs="Arial"/>
          <w:sz w:val="24"/>
          <w:szCs w:val="24"/>
        </w:rPr>
        <w:t xml:space="preserve"> e que o direito seja aplicado à época dos fatos</w:t>
      </w:r>
      <w:r w:rsidR="004962FE">
        <w:rPr>
          <w:rFonts w:ascii="Arial" w:hAnsi="Arial" w:cs="Arial"/>
          <w:sz w:val="24"/>
          <w:szCs w:val="24"/>
        </w:rPr>
        <w:t xml:space="preserve"> pela </w:t>
      </w:r>
      <w:r w:rsidR="004962FE" w:rsidRPr="004962FE">
        <w:rPr>
          <w:rFonts w:ascii="Arial" w:hAnsi="Arial" w:cs="Arial"/>
          <w:sz w:val="24"/>
          <w:szCs w:val="24"/>
        </w:rPr>
        <w:t>autoridade policial responsável pelo SINARM</w:t>
      </w:r>
      <w:r>
        <w:rPr>
          <w:rFonts w:ascii="Arial" w:hAnsi="Arial" w:cs="Arial"/>
          <w:sz w:val="24"/>
          <w:szCs w:val="24"/>
        </w:rPr>
        <w:t>, conforme determina o</w:t>
      </w:r>
      <w:r w:rsidR="007A6CA2">
        <w:rPr>
          <w:rFonts w:ascii="Arial" w:hAnsi="Arial" w:cs="Arial"/>
          <w:sz w:val="24"/>
          <w:szCs w:val="24"/>
        </w:rPr>
        <w:t xml:space="preserve"> </w:t>
      </w:r>
      <w:r w:rsidR="007A6CA2" w:rsidRPr="007A6CA2">
        <w:rPr>
          <w:rFonts w:ascii="Arial" w:hAnsi="Arial" w:cs="Arial"/>
          <w:sz w:val="24"/>
          <w:szCs w:val="24"/>
        </w:rPr>
        <w:t>Art</w:t>
      </w:r>
      <w:r w:rsidR="007A6CA2">
        <w:rPr>
          <w:rFonts w:ascii="Arial" w:hAnsi="Arial" w:cs="Arial"/>
          <w:sz w:val="24"/>
          <w:szCs w:val="24"/>
        </w:rPr>
        <w:t>igo</w:t>
      </w:r>
      <w:r w:rsidR="007A6CA2" w:rsidRPr="007A6CA2">
        <w:rPr>
          <w:rFonts w:ascii="Arial" w:hAnsi="Arial" w:cs="Arial"/>
          <w:sz w:val="24"/>
          <w:szCs w:val="24"/>
        </w:rPr>
        <w:t xml:space="preserve"> 14</w:t>
      </w:r>
      <w:r w:rsidR="00384D6F">
        <w:rPr>
          <w:rFonts w:ascii="Arial" w:hAnsi="Arial" w:cs="Arial"/>
          <w:sz w:val="24"/>
          <w:szCs w:val="24"/>
        </w:rPr>
        <w:t>º do novo Código de Processo Civil</w:t>
      </w:r>
      <w:r w:rsidR="007A6CA2">
        <w:rPr>
          <w:rFonts w:ascii="Arial" w:hAnsi="Arial" w:cs="Arial"/>
          <w:sz w:val="24"/>
          <w:szCs w:val="24"/>
        </w:rPr>
        <w:t xml:space="preserve">, já que eu </w:t>
      </w:r>
      <w:r w:rsidR="00384D6F">
        <w:rPr>
          <w:rFonts w:ascii="Arial" w:hAnsi="Arial" w:cs="Arial"/>
          <w:sz w:val="24"/>
          <w:szCs w:val="24"/>
        </w:rPr>
        <w:t>cumpri</w:t>
      </w:r>
      <w:r w:rsidR="007A6CA2">
        <w:rPr>
          <w:rFonts w:ascii="Arial" w:hAnsi="Arial" w:cs="Arial"/>
          <w:sz w:val="24"/>
          <w:szCs w:val="24"/>
        </w:rPr>
        <w:t xml:space="preserve"> todos os requisitos objetivos e o </w:t>
      </w:r>
      <w:r w:rsidR="00F30070">
        <w:rPr>
          <w:rFonts w:ascii="Arial" w:hAnsi="Arial" w:cs="Arial"/>
          <w:sz w:val="24"/>
          <w:szCs w:val="24"/>
        </w:rPr>
        <w:t>D</w:t>
      </w:r>
      <w:r w:rsidR="007A6CA2">
        <w:rPr>
          <w:rFonts w:ascii="Arial" w:hAnsi="Arial" w:cs="Arial"/>
          <w:sz w:val="24"/>
          <w:szCs w:val="24"/>
        </w:rPr>
        <w:t xml:space="preserve">ireito ao </w:t>
      </w:r>
      <w:r w:rsidR="00F30070">
        <w:rPr>
          <w:rFonts w:ascii="Arial" w:hAnsi="Arial" w:cs="Arial"/>
          <w:sz w:val="24"/>
          <w:szCs w:val="24"/>
        </w:rPr>
        <w:t>P</w:t>
      </w:r>
      <w:r w:rsidR="007A6CA2">
        <w:rPr>
          <w:rFonts w:ascii="Arial" w:hAnsi="Arial" w:cs="Arial"/>
          <w:sz w:val="24"/>
          <w:szCs w:val="24"/>
        </w:rPr>
        <w:t>orte</w:t>
      </w:r>
      <w:r w:rsidR="00384D6F">
        <w:rPr>
          <w:rFonts w:ascii="Arial" w:hAnsi="Arial" w:cs="Arial"/>
          <w:sz w:val="24"/>
          <w:szCs w:val="24"/>
        </w:rPr>
        <w:t xml:space="preserve"> estava presente</w:t>
      </w:r>
      <w:r w:rsidR="007A6CA2">
        <w:rPr>
          <w:rFonts w:ascii="Arial" w:hAnsi="Arial" w:cs="Arial"/>
          <w:sz w:val="24"/>
          <w:szCs w:val="24"/>
        </w:rPr>
        <w:t xml:space="preserve"> por se</w:t>
      </w:r>
      <w:r w:rsidR="00384D6F">
        <w:rPr>
          <w:rFonts w:ascii="Arial" w:hAnsi="Arial" w:cs="Arial"/>
          <w:sz w:val="24"/>
          <w:szCs w:val="24"/>
        </w:rPr>
        <w:t xml:space="preserve"> tratar de</w:t>
      </w:r>
      <w:r w:rsidR="007A6CA2">
        <w:rPr>
          <w:rFonts w:ascii="Arial" w:hAnsi="Arial" w:cs="Arial"/>
          <w:sz w:val="24"/>
          <w:szCs w:val="24"/>
        </w:rPr>
        <w:t xml:space="preserve"> Caçador e Atirador Esportivo com registro no Exército Brasileiro</w:t>
      </w:r>
      <w:r w:rsidR="00D02D67">
        <w:rPr>
          <w:rFonts w:ascii="Arial" w:hAnsi="Arial" w:cs="Arial"/>
          <w:sz w:val="24"/>
          <w:szCs w:val="24"/>
        </w:rPr>
        <w:t>, havendo a justa expectativa</w:t>
      </w:r>
      <w:r w:rsidR="007A6CA2">
        <w:rPr>
          <w:rFonts w:ascii="Arial" w:hAnsi="Arial" w:cs="Arial"/>
          <w:sz w:val="24"/>
          <w:szCs w:val="24"/>
        </w:rPr>
        <w:t>.</w:t>
      </w:r>
    </w:p>
    <w:p w:rsidR="002226A4" w:rsidRDefault="00B6592F" w:rsidP="00E609D9">
      <w:pPr>
        <w:spacing w:after="360"/>
        <w:jc w:val="both"/>
        <w:rPr>
          <w:rFonts w:ascii="Arial" w:hAnsi="Arial" w:cs="Arial"/>
          <w:sz w:val="24"/>
          <w:szCs w:val="24"/>
        </w:rPr>
      </w:pPr>
      <w:r w:rsidRPr="00B6592F">
        <w:rPr>
          <w:rFonts w:ascii="Arial" w:hAnsi="Arial" w:cs="Arial"/>
          <w:sz w:val="24"/>
          <w:szCs w:val="24"/>
        </w:rPr>
        <w:t xml:space="preserve">Na hipótese em que este recurso seja julgado </w:t>
      </w:r>
      <w:r w:rsidR="00E609D9">
        <w:rPr>
          <w:rFonts w:ascii="Arial" w:hAnsi="Arial" w:cs="Arial"/>
          <w:sz w:val="24"/>
          <w:szCs w:val="24"/>
        </w:rPr>
        <w:t>im</w:t>
      </w:r>
      <w:r w:rsidR="00E609D9" w:rsidRPr="00B6592F">
        <w:rPr>
          <w:rFonts w:ascii="Arial" w:hAnsi="Arial" w:cs="Arial"/>
          <w:sz w:val="24"/>
          <w:szCs w:val="24"/>
        </w:rPr>
        <w:t>procedente</w:t>
      </w:r>
      <w:r w:rsidRPr="00B6592F">
        <w:rPr>
          <w:rFonts w:ascii="Arial" w:hAnsi="Arial" w:cs="Arial"/>
          <w:sz w:val="24"/>
          <w:szCs w:val="24"/>
        </w:rPr>
        <w:t xml:space="preserve"> e considerando que não dei causa ao indeferimento</w:t>
      </w:r>
      <w:r>
        <w:rPr>
          <w:rFonts w:ascii="Arial" w:hAnsi="Arial" w:cs="Arial"/>
          <w:sz w:val="24"/>
          <w:szCs w:val="24"/>
        </w:rPr>
        <w:t>,</w:t>
      </w:r>
      <w:r w:rsidRPr="00B6592F">
        <w:rPr>
          <w:rFonts w:ascii="Arial" w:hAnsi="Arial" w:cs="Arial"/>
          <w:sz w:val="24"/>
          <w:szCs w:val="24"/>
        </w:rPr>
        <w:t xml:space="preserve"> ao cumprir integralmente os requisitos estabelecidos na data do pedido, peço que seja afastada a regra do artigo 67º, § 11, da instrução normativa nº 131-DG/PF, de 14 de novembro de 2018, que impede </w:t>
      </w:r>
      <w:r>
        <w:rPr>
          <w:rFonts w:ascii="Arial" w:hAnsi="Arial" w:cs="Arial"/>
          <w:sz w:val="24"/>
          <w:szCs w:val="24"/>
        </w:rPr>
        <w:t xml:space="preserve">que </w:t>
      </w:r>
      <w:r w:rsidRPr="00B6592F">
        <w:rPr>
          <w:rFonts w:ascii="Arial" w:hAnsi="Arial" w:cs="Arial"/>
          <w:sz w:val="24"/>
          <w:szCs w:val="24"/>
        </w:rPr>
        <w:t>um novo pedido de porte seja protoco</w:t>
      </w:r>
      <w:r>
        <w:rPr>
          <w:rFonts w:ascii="Arial" w:hAnsi="Arial" w:cs="Arial"/>
          <w:sz w:val="24"/>
          <w:szCs w:val="24"/>
        </w:rPr>
        <w:t>lizado</w:t>
      </w:r>
      <w:r w:rsidRPr="00B6592F">
        <w:rPr>
          <w:rFonts w:ascii="Arial" w:hAnsi="Arial" w:cs="Arial"/>
          <w:sz w:val="24"/>
          <w:szCs w:val="24"/>
        </w:rPr>
        <w:t xml:space="preserve"> em um prazo de 1 ano.</w:t>
      </w:r>
    </w:p>
    <w:p w:rsidR="002226A4" w:rsidRDefault="002226A4" w:rsidP="003F23D5">
      <w:pPr>
        <w:jc w:val="both"/>
        <w:rPr>
          <w:rFonts w:ascii="Arial" w:hAnsi="Arial" w:cs="Arial"/>
          <w:sz w:val="24"/>
          <w:szCs w:val="24"/>
        </w:rPr>
      </w:pPr>
    </w:p>
    <w:p w:rsidR="002226A4" w:rsidRDefault="002226A4" w:rsidP="003F23D5">
      <w:pPr>
        <w:jc w:val="both"/>
        <w:rPr>
          <w:rFonts w:ascii="Arial" w:hAnsi="Arial" w:cs="Arial"/>
          <w:sz w:val="24"/>
          <w:szCs w:val="24"/>
        </w:rPr>
      </w:pPr>
    </w:p>
    <w:p w:rsidR="00173EA0" w:rsidRDefault="00173EA0" w:rsidP="00173EA0"/>
    <w:p w:rsidR="00902446" w:rsidRPr="007C33A8" w:rsidRDefault="00902446" w:rsidP="00902446">
      <w:pPr>
        <w:jc w:val="center"/>
        <w:rPr>
          <w:rFonts w:ascii="Arial" w:hAnsi="Arial" w:cs="Arial"/>
          <w:sz w:val="24"/>
          <w:szCs w:val="24"/>
        </w:rPr>
      </w:pPr>
      <w:r w:rsidRPr="007C33A8">
        <w:rPr>
          <w:rFonts w:ascii="Arial" w:hAnsi="Arial" w:cs="Arial"/>
          <w:sz w:val="24"/>
          <w:szCs w:val="24"/>
        </w:rPr>
        <w:t>Nestes Termos,</w:t>
      </w:r>
    </w:p>
    <w:p w:rsidR="00902446" w:rsidRDefault="00CF2CF8" w:rsidP="009024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Peço</w:t>
      </w:r>
      <w:r w:rsidR="00902446" w:rsidRPr="007C33A8">
        <w:rPr>
          <w:rFonts w:ascii="Arial" w:hAnsi="Arial" w:cs="Arial"/>
          <w:sz w:val="24"/>
          <w:szCs w:val="24"/>
        </w:rPr>
        <w:t xml:space="preserve"> Deferimento.</w:t>
      </w:r>
    </w:p>
    <w:p w:rsidR="00902446" w:rsidRPr="007C33A8" w:rsidRDefault="00902446" w:rsidP="00902446">
      <w:pPr>
        <w:jc w:val="center"/>
        <w:rPr>
          <w:rFonts w:ascii="Arial" w:hAnsi="Arial" w:cs="Arial"/>
          <w:sz w:val="24"/>
          <w:szCs w:val="24"/>
        </w:rPr>
      </w:pPr>
    </w:p>
    <w:p w:rsidR="00902446" w:rsidRPr="0032663F" w:rsidRDefault="00902446" w:rsidP="0090244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2663F">
        <w:rPr>
          <w:rFonts w:ascii="Arial" w:hAnsi="Arial" w:cs="Arial"/>
          <w:color w:val="FF0000"/>
          <w:sz w:val="24"/>
          <w:szCs w:val="24"/>
        </w:rPr>
        <w:t xml:space="preserve">Florianópolis, </w:t>
      </w:r>
      <w:r w:rsidR="00CF2CF8" w:rsidRPr="0032663F">
        <w:rPr>
          <w:rFonts w:ascii="Arial" w:hAnsi="Arial" w:cs="Arial"/>
          <w:color w:val="FF0000"/>
          <w:sz w:val="24"/>
          <w:szCs w:val="24"/>
        </w:rPr>
        <w:t>18</w:t>
      </w:r>
      <w:r w:rsidRPr="0032663F">
        <w:rPr>
          <w:rFonts w:ascii="Arial" w:hAnsi="Arial" w:cs="Arial"/>
          <w:color w:val="FF0000"/>
          <w:sz w:val="24"/>
          <w:szCs w:val="24"/>
        </w:rPr>
        <w:t xml:space="preserve"> de julho de 2019</w:t>
      </w:r>
    </w:p>
    <w:p w:rsidR="00902446" w:rsidRDefault="00902446" w:rsidP="0090244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2446" w:rsidRDefault="00902446" w:rsidP="009024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902446" w:rsidRPr="0032663F" w:rsidRDefault="00215BCA" w:rsidP="0090244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2663F">
        <w:rPr>
          <w:rFonts w:ascii="Arial" w:hAnsi="Arial" w:cs="Arial"/>
          <w:color w:val="FF0000"/>
          <w:sz w:val="24"/>
          <w:szCs w:val="24"/>
        </w:rPr>
        <w:t>[</w:t>
      </w:r>
      <w:r w:rsidR="0032663F" w:rsidRPr="0032663F">
        <w:rPr>
          <w:rFonts w:ascii="Arial" w:hAnsi="Arial" w:cs="Arial"/>
          <w:color w:val="FF0000"/>
          <w:sz w:val="24"/>
          <w:szCs w:val="24"/>
        </w:rPr>
        <w:t>SEU NOME</w:t>
      </w:r>
      <w:r w:rsidRPr="0032663F">
        <w:rPr>
          <w:rFonts w:ascii="Arial" w:hAnsi="Arial" w:cs="Arial"/>
          <w:color w:val="FF0000"/>
          <w:sz w:val="24"/>
          <w:szCs w:val="24"/>
        </w:rPr>
        <w:t>]</w:t>
      </w:r>
    </w:p>
    <w:p w:rsidR="00902446" w:rsidRDefault="00902446" w:rsidP="00902446">
      <w:pPr>
        <w:jc w:val="center"/>
      </w:pPr>
      <w:r w:rsidRPr="00EA7900">
        <w:rPr>
          <w:rFonts w:ascii="Arial" w:hAnsi="Arial" w:cs="Arial"/>
          <w:sz w:val="24"/>
          <w:szCs w:val="24"/>
        </w:rPr>
        <w:t>CP</w:t>
      </w:r>
      <w:r w:rsidR="00CF2CF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:</w:t>
      </w:r>
      <w:r w:rsidRPr="00EA7900">
        <w:rPr>
          <w:rFonts w:ascii="Arial" w:hAnsi="Arial" w:cs="Arial"/>
          <w:sz w:val="24"/>
          <w:szCs w:val="24"/>
        </w:rPr>
        <w:t xml:space="preserve">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[</w:t>
      </w:r>
      <w:r w:rsidR="0032663F" w:rsidRPr="0032663F">
        <w:rPr>
          <w:rFonts w:ascii="Arial" w:hAnsi="Arial" w:cs="Arial"/>
          <w:color w:val="FF0000"/>
          <w:sz w:val="24"/>
          <w:szCs w:val="24"/>
        </w:rPr>
        <w:t xml:space="preserve">SEU </w:t>
      </w:r>
      <w:r w:rsidR="00215BCA" w:rsidRPr="0032663F">
        <w:rPr>
          <w:rFonts w:ascii="Arial" w:hAnsi="Arial" w:cs="Arial"/>
          <w:color w:val="FF0000"/>
          <w:sz w:val="24"/>
          <w:szCs w:val="24"/>
        </w:rPr>
        <w:t>CPF]</w:t>
      </w:r>
    </w:p>
    <w:sectPr w:rsidR="0090244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A1" w:rsidRDefault="000202A1" w:rsidP="004E49C6">
      <w:pPr>
        <w:spacing w:after="0" w:line="240" w:lineRule="auto"/>
      </w:pPr>
      <w:r>
        <w:separator/>
      </w:r>
    </w:p>
  </w:endnote>
  <w:endnote w:type="continuationSeparator" w:id="0">
    <w:p w:rsidR="000202A1" w:rsidRDefault="000202A1" w:rsidP="004E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395402"/>
      <w:docPartObj>
        <w:docPartGallery w:val="Page Numbers (Bottom of Page)"/>
        <w:docPartUnique/>
      </w:docPartObj>
    </w:sdtPr>
    <w:sdtEndPr/>
    <w:sdtContent>
      <w:p w:rsidR="004E49C6" w:rsidRDefault="004E49C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3F">
          <w:rPr>
            <w:noProof/>
          </w:rPr>
          <w:t>6</w:t>
        </w:r>
        <w:r>
          <w:fldChar w:fldCharType="end"/>
        </w:r>
      </w:p>
    </w:sdtContent>
  </w:sdt>
  <w:p w:rsidR="004E49C6" w:rsidRDefault="004E49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A1" w:rsidRDefault="000202A1" w:rsidP="004E49C6">
      <w:pPr>
        <w:spacing w:after="0" w:line="240" w:lineRule="auto"/>
      </w:pPr>
      <w:r>
        <w:separator/>
      </w:r>
    </w:p>
  </w:footnote>
  <w:footnote w:type="continuationSeparator" w:id="0">
    <w:p w:rsidR="000202A1" w:rsidRDefault="000202A1" w:rsidP="004E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C"/>
    <w:rsid w:val="00017BF0"/>
    <w:rsid w:val="000202A1"/>
    <w:rsid w:val="00026659"/>
    <w:rsid w:val="00095415"/>
    <w:rsid w:val="000C6009"/>
    <w:rsid w:val="000D7DFA"/>
    <w:rsid w:val="00167F8C"/>
    <w:rsid w:val="00173EA0"/>
    <w:rsid w:val="001756E5"/>
    <w:rsid w:val="00186A1E"/>
    <w:rsid w:val="001D35D7"/>
    <w:rsid w:val="001E4D6B"/>
    <w:rsid w:val="002139A9"/>
    <w:rsid w:val="00215BCA"/>
    <w:rsid w:val="002226A4"/>
    <w:rsid w:val="00222CDB"/>
    <w:rsid w:val="00256885"/>
    <w:rsid w:val="00267B4A"/>
    <w:rsid w:val="00295BE7"/>
    <w:rsid w:val="00296893"/>
    <w:rsid w:val="002B6148"/>
    <w:rsid w:val="00313D0F"/>
    <w:rsid w:val="0032663F"/>
    <w:rsid w:val="003510C4"/>
    <w:rsid w:val="00376684"/>
    <w:rsid w:val="00384D6F"/>
    <w:rsid w:val="00397809"/>
    <w:rsid w:val="003D7AFB"/>
    <w:rsid w:val="003F1C3A"/>
    <w:rsid w:val="003F23D5"/>
    <w:rsid w:val="00435301"/>
    <w:rsid w:val="004962FE"/>
    <w:rsid w:val="004B7EA8"/>
    <w:rsid w:val="004E329F"/>
    <w:rsid w:val="004E49C6"/>
    <w:rsid w:val="004F4354"/>
    <w:rsid w:val="005211EE"/>
    <w:rsid w:val="0055426A"/>
    <w:rsid w:val="005714D3"/>
    <w:rsid w:val="0057587A"/>
    <w:rsid w:val="005A36A4"/>
    <w:rsid w:val="005B7536"/>
    <w:rsid w:val="005D3773"/>
    <w:rsid w:val="005E29E7"/>
    <w:rsid w:val="005E7B30"/>
    <w:rsid w:val="00643A88"/>
    <w:rsid w:val="00681489"/>
    <w:rsid w:val="006972AA"/>
    <w:rsid w:val="006C4D92"/>
    <w:rsid w:val="00700A96"/>
    <w:rsid w:val="00711611"/>
    <w:rsid w:val="007911AF"/>
    <w:rsid w:val="007A00A2"/>
    <w:rsid w:val="007A6CA2"/>
    <w:rsid w:val="007B6CD9"/>
    <w:rsid w:val="007C68D1"/>
    <w:rsid w:val="00807EFB"/>
    <w:rsid w:val="0081536D"/>
    <w:rsid w:val="008544AD"/>
    <w:rsid w:val="008560E6"/>
    <w:rsid w:val="0088682A"/>
    <w:rsid w:val="00902446"/>
    <w:rsid w:val="00904994"/>
    <w:rsid w:val="00921AC3"/>
    <w:rsid w:val="00934C4F"/>
    <w:rsid w:val="0094192C"/>
    <w:rsid w:val="00952F17"/>
    <w:rsid w:val="009A4B86"/>
    <w:rsid w:val="009D3B46"/>
    <w:rsid w:val="009D3BA1"/>
    <w:rsid w:val="00A17313"/>
    <w:rsid w:val="00A239F0"/>
    <w:rsid w:val="00A50BFD"/>
    <w:rsid w:val="00A6654C"/>
    <w:rsid w:val="00A717A1"/>
    <w:rsid w:val="00B21588"/>
    <w:rsid w:val="00B22C14"/>
    <w:rsid w:val="00B33C50"/>
    <w:rsid w:val="00B433C5"/>
    <w:rsid w:val="00B434BE"/>
    <w:rsid w:val="00B6592F"/>
    <w:rsid w:val="00B66EA6"/>
    <w:rsid w:val="00B830AC"/>
    <w:rsid w:val="00B9274C"/>
    <w:rsid w:val="00BA4F20"/>
    <w:rsid w:val="00BB1375"/>
    <w:rsid w:val="00BB6472"/>
    <w:rsid w:val="00BF4D02"/>
    <w:rsid w:val="00C33541"/>
    <w:rsid w:val="00C4219F"/>
    <w:rsid w:val="00C45FFD"/>
    <w:rsid w:val="00C65CBB"/>
    <w:rsid w:val="00C838F0"/>
    <w:rsid w:val="00C90DF0"/>
    <w:rsid w:val="00C91E46"/>
    <w:rsid w:val="00CB0014"/>
    <w:rsid w:val="00CF2CF8"/>
    <w:rsid w:val="00CF2E50"/>
    <w:rsid w:val="00CF768E"/>
    <w:rsid w:val="00D02D67"/>
    <w:rsid w:val="00D662BD"/>
    <w:rsid w:val="00D75BB4"/>
    <w:rsid w:val="00D902D3"/>
    <w:rsid w:val="00DD7E5D"/>
    <w:rsid w:val="00E07297"/>
    <w:rsid w:val="00E40F56"/>
    <w:rsid w:val="00E4344A"/>
    <w:rsid w:val="00E609D9"/>
    <w:rsid w:val="00E80C0C"/>
    <w:rsid w:val="00E8187F"/>
    <w:rsid w:val="00E9084E"/>
    <w:rsid w:val="00F13DC8"/>
    <w:rsid w:val="00F30070"/>
    <w:rsid w:val="00F57FFA"/>
    <w:rsid w:val="00F607DD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9598"/>
  <w15:chartTrackingRefBased/>
  <w15:docId w15:val="{A28A0264-8004-4A85-B06B-453B0ED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C6"/>
  </w:style>
  <w:style w:type="paragraph" w:styleId="Rodap">
    <w:name w:val="footer"/>
    <w:basedOn w:val="Normal"/>
    <w:link w:val="RodapChar"/>
    <w:uiPriority w:val="99"/>
    <w:unhideWhenUsed/>
    <w:rsid w:val="004E4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AB43-3E72-4AEE-8FF7-7D9DF54D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1656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 Jardim</dc:creator>
  <cp:keywords/>
  <dc:description/>
  <cp:lastModifiedBy>Saty Jardim</cp:lastModifiedBy>
  <cp:revision>4</cp:revision>
  <dcterms:created xsi:type="dcterms:W3CDTF">2019-07-18T23:05:00Z</dcterms:created>
  <dcterms:modified xsi:type="dcterms:W3CDTF">2019-07-18T23:15:00Z</dcterms:modified>
</cp:coreProperties>
</file>